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92E89" w14:textId="51159D84" w:rsidR="00EC1354" w:rsidRPr="000513A3" w:rsidRDefault="007E70A3" w:rsidP="007E70A3">
      <w:pPr>
        <w:spacing w:line="360" w:lineRule="auto"/>
        <w:rPr>
          <w:rFonts w:cs="Arial"/>
          <w:b/>
          <w:sz w:val="28"/>
          <w:szCs w:val="28"/>
        </w:rPr>
      </w:pPr>
      <w:r>
        <w:rPr>
          <w:rFonts w:cs="Arial"/>
          <w:b/>
          <w:sz w:val="28"/>
          <w:szCs w:val="28"/>
        </w:rPr>
        <w:t>Dietary</w:t>
      </w:r>
      <w:r w:rsidR="00EC1354" w:rsidRPr="000513A3">
        <w:rPr>
          <w:rFonts w:cs="Arial"/>
          <w:b/>
          <w:sz w:val="28"/>
          <w:szCs w:val="28"/>
        </w:rPr>
        <w:t xml:space="preserve"> iodine exposure </w:t>
      </w:r>
      <w:r w:rsidR="00A40D9A">
        <w:rPr>
          <w:rFonts w:cs="Arial"/>
          <w:b/>
          <w:sz w:val="28"/>
          <w:szCs w:val="28"/>
        </w:rPr>
        <w:t>and</w:t>
      </w:r>
      <w:r w:rsidR="00EC1354" w:rsidRPr="000513A3">
        <w:rPr>
          <w:rFonts w:cs="Arial"/>
          <w:b/>
          <w:sz w:val="28"/>
          <w:szCs w:val="28"/>
        </w:rPr>
        <w:t xml:space="preserve"> brain structures and cognition in </w:t>
      </w:r>
      <w:r w:rsidR="00A40D9A">
        <w:rPr>
          <w:rFonts w:cs="Arial"/>
          <w:b/>
          <w:sz w:val="28"/>
          <w:szCs w:val="28"/>
        </w:rPr>
        <w:t>older people</w:t>
      </w:r>
      <w:r>
        <w:rPr>
          <w:rFonts w:cs="Arial"/>
          <w:b/>
          <w:sz w:val="28"/>
          <w:szCs w:val="28"/>
        </w:rPr>
        <w:t>. Exploratory analysis in</w:t>
      </w:r>
      <w:r w:rsidR="00EC1354" w:rsidRPr="000513A3">
        <w:rPr>
          <w:rFonts w:cs="Arial"/>
          <w:b/>
          <w:sz w:val="28"/>
          <w:szCs w:val="28"/>
        </w:rPr>
        <w:t xml:space="preserve"> </w:t>
      </w:r>
      <w:r w:rsidR="00A40D9A">
        <w:rPr>
          <w:rFonts w:cs="Arial"/>
          <w:b/>
          <w:sz w:val="28"/>
          <w:szCs w:val="28"/>
        </w:rPr>
        <w:t>the Lothian Birth</w:t>
      </w:r>
      <w:r w:rsidR="00EC1354" w:rsidRPr="000513A3">
        <w:rPr>
          <w:rFonts w:cs="Arial"/>
          <w:b/>
          <w:sz w:val="28"/>
          <w:szCs w:val="28"/>
        </w:rPr>
        <w:t xml:space="preserve"> Cohort</w:t>
      </w:r>
      <w:r w:rsidR="00A40D9A">
        <w:rPr>
          <w:rFonts w:cs="Arial"/>
          <w:b/>
          <w:sz w:val="28"/>
          <w:szCs w:val="28"/>
        </w:rPr>
        <w:t xml:space="preserve"> 1936</w:t>
      </w:r>
    </w:p>
    <w:p w14:paraId="1FFAF512" w14:textId="77777777" w:rsidR="00EC1354" w:rsidRPr="00EC1354" w:rsidRDefault="00EC1354" w:rsidP="00EC1354">
      <w:pPr>
        <w:rPr>
          <w:b/>
        </w:rPr>
      </w:pPr>
    </w:p>
    <w:p w14:paraId="799868F6" w14:textId="77777777" w:rsidR="00EC1354" w:rsidRPr="000513A3" w:rsidRDefault="00895A02" w:rsidP="00EC1354">
      <w:pPr>
        <w:rPr>
          <w:b/>
          <w:sz w:val="28"/>
          <w:szCs w:val="28"/>
        </w:rPr>
      </w:pPr>
      <w:r w:rsidRPr="000513A3">
        <w:rPr>
          <w:b/>
          <w:sz w:val="28"/>
          <w:szCs w:val="28"/>
        </w:rPr>
        <w:t>Authors:</w:t>
      </w:r>
    </w:p>
    <w:p w14:paraId="66FF92C3" w14:textId="4A23C014" w:rsidR="00EC1354" w:rsidRPr="00EC1354" w:rsidRDefault="00D53D7E" w:rsidP="00276163">
      <w:pPr>
        <w:spacing w:line="360" w:lineRule="auto"/>
      </w:pPr>
      <w:r w:rsidRPr="00D53D7E">
        <w:t>Maria del C. Valdés Hernández</w:t>
      </w:r>
      <w:r w:rsidR="00EC1354" w:rsidRPr="00D53D7E">
        <w:rPr>
          <w:vertAlign w:val="superscript"/>
        </w:rPr>
        <w:t>1</w:t>
      </w:r>
      <w:r>
        <w:rPr>
          <w:vertAlign w:val="superscript"/>
        </w:rPr>
        <w:t>,2</w:t>
      </w:r>
      <w:r w:rsidR="00EC1354" w:rsidRPr="00D53D7E">
        <w:t xml:space="preserve">†, </w:t>
      </w:r>
      <w:r w:rsidR="00710FE7" w:rsidRPr="00710FE7">
        <w:t>Janet Kyle</w:t>
      </w:r>
      <w:r w:rsidR="00710FE7">
        <w:rPr>
          <w:vertAlign w:val="superscript"/>
        </w:rPr>
        <w:t>3</w:t>
      </w:r>
      <w:r w:rsidR="00710FE7" w:rsidRPr="00710FE7">
        <w:t xml:space="preserve">, </w:t>
      </w:r>
      <w:r w:rsidR="00EC1354" w:rsidRPr="00D53D7E">
        <w:t>Julia Allan</w:t>
      </w:r>
      <w:r w:rsidR="00710FE7">
        <w:rPr>
          <w:vertAlign w:val="superscript"/>
        </w:rPr>
        <w:t>4</w:t>
      </w:r>
      <w:r w:rsidR="00EC1354" w:rsidRPr="00D53D7E">
        <w:t>, Michael Allerhand</w:t>
      </w:r>
      <w:r>
        <w:rPr>
          <w:vertAlign w:val="superscript"/>
        </w:rPr>
        <w:t>1</w:t>
      </w:r>
      <w:r w:rsidR="00EC1354" w:rsidRPr="00D53D7E">
        <w:t xml:space="preserve">, </w:t>
      </w:r>
      <w:r w:rsidR="00276163">
        <w:t>Heather Clark</w:t>
      </w:r>
      <w:r w:rsidR="00276163" w:rsidRPr="00276163">
        <w:rPr>
          <w:vertAlign w:val="superscript"/>
        </w:rPr>
        <w:t>3</w:t>
      </w:r>
      <w:r w:rsidR="00276163">
        <w:t xml:space="preserve">, </w:t>
      </w:r>
      <w:r w:rsidR="00895A02" w:rsidRPr="00D53D7E">
        <w:rPr>
          <w:rFonts w:cs="Arial"/>
        </w:rPr>
        <w:t>Susana Muñoz Maniega</w:t>
      </w:r>
      <w:r>
        <w:rPr>
          <w:vertAlign w:val="superscript"/>
        </w:rPr>
        <w:t>1,2</w:t>
      </w:r>
      <w:r w:rsidR="00895A02" w:rsidRPr="00D53D7E">
        <w:rPr>
          <w:rFonts w:cs="Arial"/>
        </w:rPr>
        <w:t>, Natalie A. Royle</w:t>
      </w:r>
      <w:r>
        <w:rPr>
          <w:vertAlign w:val="superscript"/>
        </w:rPr>
        <w:t>1,2</w:t>
      </w:r>
      <w:r w:rsidR="00895A02" w:rsidRPr="00D53D7E">
        <w:rPr>
          <w:rFonts w:cs="Arial"/>
        </w:rPr>
        <w:t>, Alan J Gow</w:t>
      </w:r>
      <w:r>
        <w:rPr>
          <w:vertAlign w:val="superscript"/>
        </w:rPr>
        <w:t>1</w:t>
      </w:r>
      <w:r w:rsidR="00895A02" w:rsidRPr="00D53D7E">
        <w:rPr>
          <w:vertAlign w:val="superscript"/>
        </w:rPr>
        <w:t>,</w:t>
      </w:r>
      <w:r>
        <w:rPr>
          <w:vertAlign w:val="superscript"/>
        </w:rPr>
        <w:t>5</w:t>
      </w:r>
      <w:r w:rsidR="00895A02" w:rsidRPr="00D53D7E">
        <w:t xml:space="preserve">, </w:t>
      </w:r>
      <w:r w:rsidR="003F2F44">
        <w:t>Alison Pattie</w:t>
      </w:r>
      <w:r w:rsidR="003F2F44" w:rsidRPr="003F2F44">
        <w:rPr>
          <w:vertAlign w:val="superscript"/>
        </w:rPr>
        <w:t>1</w:t>
      </w:r>
      <w:r w:rsidR="003F2F44">
        <w:rPr>
          <w:vertAlign w:val="superscript"/>
        </w:rPr>
        <w:t>,6</w:t>
      </w:r>
      <w:r w:rsidR="003F2F44">
        <w:t>, Janie Corley</w:t>
      </w:r>
      <w:r w:rsidR="003F2F44" w:rsidRPr="003F2F44">
        <w:rPr>
          <w:vertAlign w:val="superscript"/>
        </w:rPr>
        <w:t>1</w:t>
      </w:r>
      <w:r w:rsidR="003F2F44">
        <w:rPr>
          <w:vertAlign w:val="superscript"/>
        </w:rPr>
        <w:t>,6</w:t>
      </w:r>
      <w:r w:rsidR="003F2F44">
        <w:t xml:space="preserve">, </w:t>
      </w:r>
      <w:r w:rsidR="00895A02" w:rsidRPr="00D53D7E">
        <w:t>Mark E. Bastin</w:t>
      </w:r>
      <w:r>
        <w:rPr>
          <w:vertAlign w:val="superscript"/>
        </w:rPr>
        <w:t>1,2</w:t>
      </w:r>
      <w:r w:rsidR="00895A02" w:rsidRPr="00D53D7E">
        <w:t xml:space="preserve">, </w:t>
      </w:r>
      <w:r w:rsidR="003F2F44">
        <w:t>John M. Starr</w:t>
      </w:r>
      <w:r w:rsidR="003F2F44" w:rsidRPr="003F2F44">
        <w:rPr>
          <w:vertAlign w:val="superscript"/>
        </w:rPr>
        <w:t>1</w:t>
      </w:r>
      <w:r w:rsidR="003F2F44">
        <w:t xml:space="preserve">, </w:t>
      </w:r>
      <w:r w:rsidR="00895A02" w:rsidRPr="00D53D7E">
        <w:t>Joanna M. Wardlaw</w:t>
      </w:r>
      <w:r>
        <w:rPr>
          <w:vertAlign w:val="superscript"/>
        </w:rPr>
        <w:t>1,2</w:t>
      </w:r>
      <w:r w:rsidR="00895A02" w:rsidRPr="00D53D7E">
        <w:t xml:space="preserve">, </w:t>
      </w:r>
      <w:r w:rsidR="00EC1354" w:rsidRPr="00D53D7E">
        <w:t>Ian J. Deary</w:t>
      </w:r>
      <w:r>
        <w:rPr>
          <w:vertAlign w:val="superscript"/>
        </w:rPr>
        <w:t>1,6</w:t>
      </w:r>
      <w:r w:rsidR="00EC1354" w:rsidRPr="00D53D7E">
        <w:t xml:space="preserve"> </w:t>
      </w:r>
      <w:r w:rsidR="00895A02" w:rsidRPr="00D53D7E">
        <w:t xml:space="preserve">and </w:t>
      </w:r>
      <w:r w:rsidRPr="00D53D7E">
        <w:t xml:space="preserve">Emilie Combet </w:t>
      </w:r>
      <w:r w:rsidRPr="00D53D7E">
        <w:rPr>
          <w:vertAlign w:val="superscript"/>
        </w:rPr>
        <w:t>7</w:t>
      </w:r>
      <w:r w:rsidR="00895A02" w:rsidRPr="00D53D7E">
        <w:t>†</w:t>
      </w:r>
    </w:p>
    <w:p w14:paraId="75AE242B" w14:textId="77777777" w:rsidR="00EC1354" w:rsidRPr="00EC1354" w:rsidRDefault="00EC1354" w:rsidP="00EC1354">
      <w:pPr>
        <w:rPr>
          <w:b/>
        </w:rPr>
      </w:pPr>
    </w:p>
    <w:p w14:paraId="34AE83F4" w14:textId="77777777" w:rsidR="00EC1354" w:rsidRPr="000513A3" w:rsidRDefault="00EC1354" w:rsidP="00EC1354">
      <w:pPr>
        <w:rPr>
          <w:b/>
          <w:sz w:val="28"/>
          <w:szCs w:val="28"/>
        </w:rPr>
      </w:pPr>
      <w:r w:rsidRPr="000513A3">
        <w:rPr>
          <w:b/>
          <w:sz w:val="28"/>
          <w:szCs w:val="28"/>
        </w:rPr>
        <w:t>Author Affiliations:</w:t>
      </w:r>
    </w:p>
    <w:p w14:paraId="2608E4B6" w14:textId="77777777" w:rsidR="00D53D7E" w:rsidRPr="00EC1354" w:rsidRDefault="00D53D7E" w:rsidP="00D53D7E">
      <w:r w:rsidRPr="00D53D7E">
        <w:rPr>
          <w:vertAlign w:val="superscript"/>
        </w:rPr>
        <w:t>1</w:t>
      </w:r>
      <w:r w:rsidRPr="00EC1354">
        <w:t>Centre for Cognitive Ageing and Cognitive Epidemiology, University of Edinburgh, Edinburgh, UK</w:t>
      </w:r>
    </w:p>
    <w:p w14:paraId="3E3ACF04" w14:textId="77777777" w:rsidR="00D53D7E" w:rsidRDefault="00D53D7E" w:rsidP="00EC1354">
      <w:r>
        <w:rPr>
          <w:vertAlign w:val="superscript"/>
        </w:rPr>
        <w:t>2</w:t>
      </w:r>
      <w:r w:rsidRPr="00EC1354">
        <w:t>Department of Neuroimaging Sciences, Centre for Clinical Brain Sciences, Univers</w:t>
      </w:r>
      <w:r>
        <w:t>ity of Edinburgh, Edinburgh, UK</w:t>
      </w:r>
    </w:p>
    <w:p w14:paraId="7124AF6E" w14:textId="77777777" w:rsidR="00710FE7" w:rsidRDefault="00710FE7" w:rsidP="00710FE7">
      <w:r>
        <w:rPr>
          <w:vertAlign w:val="superscript"/>
        </w:rPr>
        <w:t>3</w:t>
      </w:r>
      <w:r w:rsidRPr="00EC1354">
        <w:t>Department of Nutrition, University of Aberdeen, Aberdeen, UK</w:t>
      </w:r>
    </w:p>
    <w:p w14:paraId="276B0D24" w14:textId="77777777" w:rsidR="00EC1354" w:rsidRPr="00EC1354" w:rsidRDefault="00710FE7" w:rsidP="00EC1354">
      <w:r>
        <w:rPr>
          <w:vertAlign w:val="superscript"/>
        </w:rPr>
        <w:t>4</w:t>
      </w:r>
      <w:r w:rsidR="00EC1354" w:rsidRPr="00EC1354">
        <w:t>Department of Psychology, University of Aberdeen, Aberdeen, UK</w:t>
      </w:r>
    </w:p>
    <w:p w14:paraId="50E3F36C" w14:textId="77777777" w:rsidR="00EC1354" w:rsidRDefault="00D53D7E" w:rsidP="00EC1354">
      <w:r>
        <w:rPr>
          <w:vertAlign w:val="superscript"/>
        </w:rPr>
        <w:t>5</w:t>
      </w:r>
      <w:r w:rsidR="00EC1354" w:rsidRPr="00EC1354">
        <w:t xml:space="preserve">Department of Psychology, </w:t>
      </w:r>
      <w:r w:rsidR="00895A02">
        <w:t>Heriot-Watt University</w:t>
      </w:r>
      <w:r w:rsidR="00EC1354" w:rsidRPr="00EC1354">
        <w:t>, Edinburgh, UK</w:t>
      </w:r>
    </w:p>
    <w:p w14:paraId="53FE4BCD" w14:textId="77777777" w:rsidR="00895A02" w:rsidRDefault="00D53D7E" w:rsidP="00895A02">
      <w:r>
        <w:rPr>
          <w:vertAlign w:val="superscript"/>
        </w:rPr>
        <w:t>6</w:t>
      </w:r>
      <w:r w:rsidR="00895A02" w:rsidRPr="00EC1354">
        <w:t>Department of Psychology, University of Edinburgh, Edinburgh, UK</w:t>
      </w:r>
    </w:p>
    <w:p w14:paraId="5DAEE1F2" w14:textId="0F3A34F9" w:rsidR="00D53D7E" w:rsidRDefault="00D53D7E" w:rsidP="00D53D7E">
      <w:r>
        <w:rPr>
          <w:vertAlign w:val="superscript"/>
        </w:rPr>
        <w:t>7</w:t>
      </w:r>
      <w:r w:rsidR="00441817">
        <w:t xml:space="preserve">Human </w:t>
      </w:r>
      <w:r w:rsidRPr="00EC1354">
        <w:t>Nutrition,</w:t>
      </w:r>
      <w:r w:rsidR="00441817">
        <w:t xml:space="preserve"> School of Medicine, College of Medical, Veterinary and Lifesciences,</w:t>
      </w:r>
      <w:r w:rsidRPr="00EC1354">
        <w:t xml:space="preserve"> University of Glasgow, Glasgow, UK</w:t>
      </w:r>
    </w:p>
    <w:p w14:paraId="191EDF07" w14:textId="77777777" w:rsidR="00D53D7E" w:rsidRDefault="00D53D7E" w:rsidP="00895A02"/>
    <w:p w14:paraId="505EC86A" w14:textId="77777777" w:rsidR="00D53D7E" w:rsidRPr="00504B2C" w:rsidRDefault="00D53D7E" w:rsidP="00D53D7E">
      <w:r>
        <w:t>†Both authors equally contributed to this work</w:t>
      </w:r>
    </w:p>
    <w:p w14:paraId="5F3B5F2D" w14:textId="77777777" w:rsidR="00895A02" w:rsidRPr="00EC1354" w:rsidRDefault="00895A02" w:rsidP="00EC1354"/>
    <w:p w14:paraId="03BF24EE" w14:textId="77777777" w:rsidR="00661B01" w:rsidRDefault="00661B01" w:rsidP="00661B01"/>
    <w:p w14:paraId="56F8814C" w14:textId="1A47E32A" w:rsidR="00661B01" w:rsidRDefault="00661B01" w:rsidP="00F23431">
      <w:pPr>
        <w:spacing w:line="360" w:lineRule="auto"/>
      </w:pPr>
      <w:r w:rsidRPr="000513A3">
        <w:rPr>
          <w:b/>
          <w:sz w:val="28"/>
          <w:szCs w:val="28"/>
        </w:rPr>
        <w:t>Correspondence</w:t>
      </w:r>
      <w:r w:rsidRPr="000513A3">
        <w:rPr>
          <w:sz w:val="28"/>
          <w:szCs w:val="28"/>
        </w:rPr>
        <w:t>:</w:t>
      </w:r>
      <w:r>
        <w:t xml:space="preserve"> </w:t>
      </w:r>
      <w:proofErr w:type="spellStart"/>
      <w:r>
        <w:t>Dr.</w:t>
      </w:r>
      <w:proofErr w:type="spellEnd"/>
      <w:r>
        <w:t xml:space="preserve"> Maria C. Valdés Hernández, </w:t>
      </w:r>
      <w:r w:rsidR="00660094" w:rsidRPr="00660094">
        <w:rPr>
          <w:iCs/>
        </w:rPr>
        <w:t>Department of Neuroimaging Sciences, Centre for Clinical Brain Sciences, University of Edinburgh, 49 Little France Crescent, Chancellor’s Building, Edinburgh, EH16 4SB</w:t>
      </w:r>
      <w:r w:rsidRPr="00660094">
        <w:t xml:space="preserve">, </w:t>
      </w:r>
      <w:r w:rsidR="00660094">
        <w:t>UK. Telephone: +44-131-4659527</w:t>
      </w:r>
      <w:r>
        <w:t>, Fax: +4</w:t>
      </w:r>
      <w:r w:rsidR="00660094">
        <w:t>4-131-332</w:t>
      </w:r>
      <w:r w:rsidR="00667E47">
        <w:t xml:space="preserve">5150, E-mail: </w:t>
      </w:r>
      <w:hyperlink r:id="rId8" w:history="1">
        <w:r w:rsidR="00667E47" w:rsidRPr="00E647FD">
          <w:rPr>
            <w:rStyle w:val="Hyperlink"/>
          </w:rPr>
          <w:t>M.Valdes-Hernan@ed.ac.uk</w:t>
        </w:r>
      </w:hyperlink>
    </w:p>
    <w:p w14:paraId="16851B5A" w14:textId="77777777" w:rsidR="00661B01" w:rsidRDefault="00661B01" w:rsidP="00661B01"/>
    <w:p w14:paraId="0B76FDE7" w14:textId="77777777" w:rsidR="00661B01" w:rsidRDefault="00661B01" w:rsidP="00661B01">
      <w:r w:rsidRPr="000513A3">
        <w:rPr>
          <w:b/>
          <w:sz w:val="28"/>
          <w:szCs w:val="28"/>
        </w:rPr>
        <w:t>Keywords</w:t>
      </w:r>
      <w:r w:rsidRPr="000513A3">
        <w:rPr>
          <w:sz w:val="28"/>
          <w:szCs w:val="28"/>
        </w:rPr>
        <w:t>:</w:t>
      </w:r>
      <w:r w:rsidRPr="00504B2C">
        <w:t xml:space="preserve"> diet, iodine, brain, cognition, </w:t>
      </w:r>
      <w:r w:rsidR="00504B2C">
        <w:t xml:space="preserve">MRI, ageing, white matter </w:t>
      </w:r>
      <w:proofErr w:type="spellStart"/>
      <w:r w:rsidR="00504B2C">
        <w:t>hyperintensities</w:t>
      </w:r>
      <w:proofErr w:type="spellEnd"/>
    </w:p>
    <w:p w14:paraId="76CC387B" w14:textId="7230B48F" w:rsidR="0064480C" w:rsidRPr="0064480C" w:rsidRDefault="0064480C" w:rsidP="00661B01">
      <w:pPr>
        <w:rPr>
          <w:b/>
          <w:sz w:val="28"/>
          <w:szCs w:val="28"/>
        </w:rPr>
      </w:pPr>
      <w:r w:rsidRPr="0064480C">
        <w:rPr>
          <w:b/>
          <w:sz w:val="28"/>
          <w:szCs w:val="28"/>
        </w:rPr>
        <w:lastRenderedPageBreak/>
        <w:t>COI disclosures</w:t>
      </w:r>
    </w:p>
    <w:p w14:paraId="139FBD5F" w14:textId="7C79A88E" w:rsidR="0064480C" w:rsidRDefault="0064480C" w:rsidP="00661B01">
      <w:pPr>
        <w:rPr>
          <w:rFonts w:ascii="Myriad Pro" w:hAnsi="Myriad Pro" w:cs="Myriad Pro"/>
          <w:sz w:val="20"/>
          <w:szCs w:val="20"/>
        </w:rPr>
      </w:pPr>
      <w:proofErr w:type="spellStart"/>
      <w:r>
        <w:rPr>
          <w:rFonts w:ascii="Myriad Pro" w:hAnsi="Myriad Pro" w:cs="Myriad Pro"/>
          <w:sz w:val="20"/>
          <w:szCs w:val="20"/>
        </w:rPr>
        <w:t>Dr.</w:t>
      </w:r>
      <w:proofErr w:type="spellEnd"/>
      <w:r>
        <w:rPr>
          <w:rFonts w:ascii="Myriad Pro" w:hAnsi="Myriad Pro" w:cs="Myriad Pro"/>
          <w:sz w:val="20"/>
          <w:szCs w:val="20"/>
        </w:rPr>
        <w:t xml:space="preserve"> Valdés Hernández reports grants from Age UK, grants from Scottish Funding Council (Project for Scotland), grants from Medical Research Council UK, grants from Engineering and Physical Sciences Research Council UK, grants from Row Fogo Charitable Trust, during the conduct of the study; .</w:t>
      </w:r>
    </w:p>
    <w:p w14:paraId="79EAAC6E" w14:textId="21716BF9" w:rsidR="0064480C" w:rsidRDefault="0064480C" w:rsidP="00661B01">
      <w:pPr>
        <w:rPr>
          <w:rFonts w:ascii="Myriad Pro" w:hAnsi="Myriad Pro" w:cs="Myriad Pro"/>
          <w:sz w:val="20"/>
          <w:szCs w:val="20"/>
        </w:rPr>
      </w:pPr>
      <w:proofErr w:type="spellStart"/>
      <w:r>
        <w:rPr>
          <w:rFonts w:ascii="Myriad Pro" w:hAnsi="Myriad Pro" w:cs="Myriad Pro"/>
          <w:sz w:val="20"/>
          <w:szCs w:val="20"/>
        </w:rPr>
        <w:t>Dr.</w:t>
      </w:r>
      <w:proofErr w:type="spellEnd"/>
      <w:r>
        <w:rPr>
          <w:rFonts w:ascii="Myriad Pro" w:hAnsi="Myriad Pro" w:cs="Myriad Pro"/>
          <w:sz w:val="20"/>
          <w:szCs w:val="20"/>
        </w:rPr>
        <w:t xml:space="preserve"> Kyle has nothing to disclose.</w:t>
      </w:r>
    </w:p>
    <w:p w14:paraId="1747F0F2" w14:textId="05B56FC6" w:rsidR="0064480C" w:rsidRDefault="0064480C" w:rsidP="00661B01">
      <w:pPr>
        <w:rPr>
          <w:rFonts w:ascii="Myriad Pro" w:hAnsi="Myriad Pro" w:cs="Myriad Pro"/>
          <w:sz w:val="20"/>
          <w:szCs w:val="20"/>
        </w:rPr>
      </w:pPr>
      <w:proofErr w:type="spellStart"/>
      <w:r>
        <w:rPr>
          <w:rFonts w:ascii="Myriad Pro" w:hAnsi="Myriad Pro" w:cs="Myriad Pro"/>
          <w:sz w:val="20"/>
          <w:szCs w:val="20"/>
        </w:rPr>
        <w:t>Dr.</w:t>
      </w:r>
      <w:proofErr w:type="spellEnd"/>
      <w:r>
        <w:rPr>
          <w:rFonts w:ascii="Myriad Pro" w:hAnsi="Myriad Pro" w:cs="Myriad Pro"/>
          <w:sz w:val="20"/>
          <w:szCs w:val="20"/>
        </w:rPr>
        <w:t xml:space="preserve"> Allan reports grants from Scottish Crucible / Royal Society of Edinburgh, during the conduct of the study</w:t>
      </w:r>
      <w:proofErr w:type="gramStart"/>
      <w:r>
        <w:rPr>
          <w:rFonts w:ascii="Myriad Pro" w:hAnsi="Myriad Pro" w:cs="Myriad Pro"/>
          <w:sz w:val="20"/>
          <w:szCs w:val="20"/>
        </w:rPr>
        <w:t>; .</w:t>
      </w:r>
      <w:proofErr w:type="gramEnd"/>
    </w:p>
    <w:p w14:paraId="1B9AF830" w14:textId="04D0DCA3" w:rsidR="0064480C" w:rsidRDefault="0064480C" w:rsidP="00661B01">
      <w:pPr>
        <w:rPr>
          <w:rFonts w:ascii="Myriad Pro" w:hAnsi="Myriad Pro" w:cs="Myriad Pro"/>
          <w:sz w:val="20"/>
          <w:szCs w:val="20"/>
        </w:rPr>
      </w:pPr>
      <w:proofErr w:type="spellStart"/>
      <w:r>
        <w:rPr>
          <w:rFonts w:ascii="Myriad Pro" w:hAnsi="Myriad Pro" w:cs="Myriad Pro"/>
          <w:sz w:val="20"/>
          <w:szCs w:val="20"/>
        </w:rPr>
        <w:t>Dr.</w:t>
      </w:r>
      <w:proofErr w:type="spellEnd"/>
      <w:r>
        <w:rPr>
          <w:rFonts w:ascii="Myriad Pro" w:hAnsi="Myriad Pro" w:cs="Myriad Pro"/>
          <w:sz w:val="20"/>
          <w:szCs w:val="20"/>
        </w:rPr>
        <w:t xml:space="preserve"> Allerhand has nothing to disclose.</w:t>
      </w:r>
    </w:p>
    <w:p w14:paraId="5BAD00ED" w14:textId="5EF24003" w:rsidR="0064480C" w:rsidRDefault="0064480C" w:rsidP="00661B01">
      <w:pPr>
        <w:rPr>
          <w:rFonts w:ascii="Myriad Pro" w:hAnsi="Myriad Pro" w:cs="Myriad Pro"/>
          <w:sz w:val="20"/>
          <w:szCs w:val="20"/>
        </w:rPr>
      </w:pPr>
      <w:proofErr w:type="spellStart"/>
      <w:r>
        <w:rPr>
          <w:rFonts w:ascii="Myriad Pro" w:hAnsi="Myriad Pro" w:cs="Myriad Pro"/>
          <w:sz w:val="20"/>
          <w:szCs w:val="20"/>
        </w:rPr>
        <w:t>Dr.</w:t>
      </w:r>
      <w:proofErr w:type="spellEnd"/>
      <w:r>
        <w:rPr>
          <w:rFonts w:ascii="Myriad Pro" w:hAnsi="Myriad Pro" w:cs="Myriad Pro"/>
          <w:sz w:val="20"/>
          <w:szCs w:val="20"/>
        </w:rPr>
        <w:t xml:space="preserve"> Clark has nothing to disclose.</w:t>
      </w:r>
    </w:p>
    <w:p w14:paraId="0E8E933A" w14:textId="6EEFC9FF" w:rsidR="0064480C" w:rsidRDefault="0064480C" w:rsidP="00661B01">
      <w:pPr>
        <w:rPr>
          <w:rFonts w:ascii="Myriad Pro" w:hAnsi="Myriad Pro" w:cs="Myriad Pro"/>
          <w:sz w:val="20"/>
          <w:szCs w:val="20"/>
        </w:rPr>
      </w:pPr>
      <w:proofErr w:type="spellStart"/>
      <w:r>
        <w:rPr>
          <w:rFonts w:ascii="Myriad Pro" w:hAnsi="Myriad Pro" w:cs="Myriad Pro"/>
          <w:sz w:val="20"/>
          <w:szCs w:val="20"/>
        </w:rPr>
        <w:t>Dr.</w:t>
      </w:r>
      <w:proofErr w:type="spellEnd"/>
      <w:r>
        <w:rPr>
          <w:rFonts w:ascii="Myriad Pro" w:hAnsi="Myriad Pro" w:cs="Myriad Pro"/>
          <w:sz w:val="20"/>
          <w:szCs w:val="20"/>
        </w:rPr>
        <w:t xml:space="preserve"> Muñoz Maniega has nothing to disclose.</w:t>
      </w:r>
    </w:p>
    <w:p w14:paraId="08607F4B" w14:textId="79001465" w:rsidR="0064480C" w:rsidRDefault="0064480C" w:rsidP="00661B01">
      <w:pPr>
        <w:rPr>
          <w:rFonts w:ascii="Myriad Pro" w:hAnsi="Myriad Pro" w:cs="Myriad Pro"/>
          <w:sz w:val="20"/>
          <w:szCs w:val="20"/>
        </w:rPr>
      </w:pPr>
      <w:proofErr w:type="spellStart"/>
      <w:r>
        <w:rPr>
          <w:rFonts w:ascii="Myriad Pro" w:hAnsi="Myriad Pro" w:cs="Myriad Pro"/>
          <w:sz w:val="20"/>
          <w:szCs w:val="20"/>
        </w:rPr>
        <w:t>Dr.</w:t>
      </w:r>
      <w:proofErr w:type="spellEnd"/>
      <w:r>
        <w:rPr>
          <w:rFonts w:ascii="Myriad Pro" w:hAnsi="Myriad Pro" w:cs="Myriad Pro"/>
          <w:sz w:val="20"/>
          <w:szCs w:val="20"/>
        </w:rPr>
        <w:t xml:space="preserve"> Royle has nothing to disclose.</w:t>
      </w:r>
    </w:p>
    <w:p w14:paraId="131B50B8" w14:textId="283AD2C1" w:rsidR="0064480C" w:rsidRDefault="0064480C" w:rsidP="00661B01">
      <w:pPr>
        <w:rPr>
          <w:rFonts w:ascii="Myriad Pro" w:hAnsi="Myriad Pro" w:cs="Myriad Pro"/>
          <w:sz w:val="20"/>
          <w:szCs w:val="20"/>
        </w:rPr>
      </w:pPr>
      <w:proofErr w:type="spellStart"/>
      <w:r>
        <w:rPr>
          <w:rFonts w:ascii="Myriad Pro" w:hAnsi="Myriad Pro" w:cs="Myriad Pro"/>
          <w:sz w:val="20"/>
          <w:szCs w:val="20"/>
        </w:rPr>
        <w:t>Dr.</w:t>
      </w:r>
      <w:proofErr w:type="spellEnd"/>
      <w:r>
        <w:rPr>
          <w:rFonts w:ascii="Myriad Pro" w:hAnsi="Myriad Pro" w:cs="Myriad Pro"/>
          <w:sz w:val="20"/>
          <w:szCs w:val="20"/>
        </w:rPr>
        <w:t xml:space="preserve"> Pattie has nothing to disclose.</w:t>
      </w:r>
    </w:p>
    <w:p w14:paraId="73B3F187" w14:textId="655C47D7" w:rsidR="0064480C" w:rsidRDefault="0064480C" w:rsidP="00661B01">
      <w:pPr>
        <w:rPr>
          <w:rFonts w:ascii="Myriad Pro" w:hAnsi="Myriad Pro" w:cs="Myriad Pro"/>
          <w:sz w:val="20"/>
          <w:szCs w:val="20"/>
        </w:rPr>
      </w:pPr>
      <w:proofErr w:type="spellStart"/>
      <w:r>
        <w:rPr>
          <w:rFonts w:ascii="Myriad Pro" w:hAnsi="Myriad Pro" w:cs="Myriad Pro"/>
          <w:sz w:val="20"/>
          <w:szCs w:val="20"/>
        </w:rPr>
        <w:t>Dr.</w:t>
      </w:r>
      <w:proofErr w:type="spellEnd"/>
      <w:r>
        <w:rPr>
          <w:rFonts w:ascii="Myriad Pro" w:hAnsi="Myriad Pro" w:cs="Myriad Pro"/>
          <w:sz w:val="20"/>
          <w:szCs w:val="20"/>
        </w:rPr>
        <w:t xml:space="preserve"> Corley has nothing to disclose.</w:t>
      </w:r>
    </w:p>
    <w:p w14:paraId="203CF90B" w14:textId="306FCDE2" w:rsidR="0064480C" w:rsidRDefault="0064480C" w:rsidP="00661B01">
      <w:pPr>
        <w:rPr>
          <w:rFonts w:ascii="Myriad Pro" w:hAnsi="Myriad Pro" w:cs="Myriad Pro"/>
          <w:sz w:val="20"/>
          <w:szCs w:val="20"/>
        </w:rPr>
      </w:pPr>
      <w:proofErr w:type="spellStart"/>
      <w:r>
        <w:rPr>
          <w:rFonts w:ascii="Myriad Pro" w:hAnsi="Myriad Pro" w:cs="Myriad Pro"/>
          <w:sz w:val="20"/>
          <w:szCs w:val="20"/>
        </w:rPr>
        <w:t>Dr.</w:t>
      </w:r>
      <w:proofErr w:type="spellEnd"/>
      <w:r>
        <w:rPr>
          <w:rFonts w:ascii="Myriad Pro" w:hAnsi="Myriad Pro" w:cs="Myriad Pro"/>
          <w:sz w:val="20"/>
          <w:szCs w:val="20"/>
        </w:rPr>
        <w:t xml:space="preserve"> </w:t>
      </w:r>
      <w:proofErr w:type="spellStart"/>
      <w:r>
        <w:rPr>
          <w:rFonts w:ascii="Myriad Pro" w:hAnsi="Myriad Pro" w:cs="Myriad Pro"/>
          <w:sz w:val="20"/>
          <w:szCs w:val="20"/>
        </w:rPr>
        <w:t>Bastin</w:t>
      </w:r>
      <w:proofErr w:type="spellEnd"/>
      <w:r>
        <w:rPr>
          <w:rFonts w:ascii="Myriad Pro" w:hAnsi="Myriad Pro" w:cs="Myriad Pro"/>
          <w:sz w:val="20"/>
          <w:szCs w:val="20"/>
        </w:rPr>
        <w:t xml:space="preserve"> has nothing to disclose.</w:t>
      </w:r>
    </w:p>
    <w:p w14:paraId="4C3A185D" w14:textId="143E3AF6" w:rsidR="0064480C" w:rsidRDefault="0064480C" w:rsidP="00661B01">
      <w:pPr>
        <w:rPr>
          <w:rFonts w:ascii="Myriad Pro" w:hAnsi="Myriad Pro" w:cs="Myriad Pro"/>
          <w:sz w:val="20"/>
          <w:szCs w:val="20"/>
        </w:rPr>
      </w:pPr>
      <w:proofErr w:type="spellStart"/>
      <w:r>
        <w:rPr>
          <w:rFonts w:ascii="Myriad Pro" w:hAnsi="Myriad Pro" w:cs="Myriad Pro"/>
          <w:sz w:val="20"/>
          <w:szCs w:val="20"/>
        </w:rPr>
        <w:t>Dr.</w:t>
      </w:r>
      <w:proofErr w:type="spellEnd"/>
      <w:r>
        <w:rPr>
          <w:rFonts w:ascii="Myriad Pro" w:hAnsi="Myriad Pro" w:cs="Myriad Pro"/>
          <w:sz w:val="20"/>
          <w:szCs w:val="20"/>
        </w:rPr>
        <w:t xml:space="preserve"> Starr has nothing to disclose.</w:t>
      </w:r>
    </w:p>
    <w:p w14:paraId="3268B5E0" w14:textId="2A5E231A" w:rsidR="0064480C" w:rsidRDefault="0064480C" w:rsidP="00661B01">
      <w:pPr>
        <w:rPr>
          <w:rFonts w:ascii="Myriad Pro" w:hAnsi="Myriad Pro" w:cs="Myriad Pro"/>
          <w:sz w:val="20"/>
          <w:szCs w:val="20"/>
        </w:rPr>
      </w:pPr>
      <w:proofErr w:type="spellStart"/>
      <w:r>
        <w:rPr>
          <w:rFonts w:ascii="Myriad Pro" w:hAnsi="Myriad Pro" w:cs="Myriad Pro"/>
          <w:sz w:val="20"/>
          <w:szCs w:val="20"/>
        </w:rPr>
        <w:t>Dr.</w:t>
      </w:r>
      <w:proofErr w:type="spellEnd"/>
      <w:r>
        <w:rPr>
          <w:rFonts w:ascii="Myriad Pro" w:hAnsi="Myriad Pro" w:cs="Myriad Pro"/>
          <w:sz w:val="20"/>
          <w:szCs w:val="20"/>
        </w:rPr>
        <w:t xml:space="preserve"> </w:t>
      </w:r>
      <w:proofErr w:type="spellStart"/>
      <w:r>
        <w:rPr>
          <w:rFonts w:ascii="Myriad Pro" w:hAnsi="Myriad Pro" w:cs="Myriad Pro"/>
          <w:sz w:val="20"/>
          <w:szCs w:val="20"/>
        </w:rPr>
        <w:t>Wardlaw</w:t>
      </w:r>
      <w:proofErr w:type="spellEnd"/>
      <w:r>
        <w:rPr>
          <w:rFonts w:ascii="Myriad Pro" w:hAnsi="Myriad Pro" w:cs="Myriad Pro"/>
          <w:sz w:val="20"/>
          <w:szCs w:val="20"/>
        </w:rPr>
        <w:t xml:space="preserve"> reports grants from MRC, grants from </w:t>
      </w:r>
      <w:proofErr w:type="spellStart"/>
      <w:r>
        <w:rPr>
          <w:rFonts w:ascii="Myriad Pro" w:hAnsi="Myriad Pro" w:cs="Myriad Pro"/>
          <w:sz w:val="20"/>
          <w:szCs w:val="20"/>
        </w:rPr>
        <w:t>AgeUK</w:t>
      </w:r>
      <w:proofErr w:type="spellEnd"/>
      <w:r>
        <w:rPr>
          <w:rFonts w:ascii="Myriad Pro" w:hAnsi="Myriad Pro" w:cs="Myriad Pro"/>
          <w:sz w:val="20"/>
          <w:szCs w:val="20"/>
        </w:rPr>
        <w:t>, grants from Scottish Funding Council, grants from Row Fogo Charitable Trust, during the conduct of the study</w:t>
      </w:r>
      <w:proofErr w:type="gramStart"/>
      <w:r>
        <w:rPr>
          <w:rFonts w:ascii="Myriad Pro" w:hAnsi="Myriad Pro" w:cs="Myriad Pro"/>
          <w:sz w:val="20"/>
          <w:szCs w:val="20"/>
        </w:rPr>
        <w:t>; .</w:t>
      </w:r>
      <w:proofErr w:type="gramEnd"/>
    </w:p>
    <w:p w14:paraId="2F30BD66" w14:textId="6FF463DB" w:rsidR="0064480C" w:rsidRDefault="0064480C" w:rsidP="00661B01">
      <w:pPr>
        <w:rPr>
          <w:rFonts w:ascii="Myriad Pro" w:hAnsi="Myriad Pro" w:cs="Myriad Pro"/>
          <w:sz w:val="20"/>
          <w:szCs w:val="20"/>
        </w:rPr>
      </w:pPr>
      <w:proofErr w:type="spellStart"/>
      <w:r>
        <w:rPr>
          <w:rFonts w:ascii="Myriad Pro" w:hAnsi="Myriad Pro" w:cs="Myriad Pro"/>
          <w:sz w:val="20"/>
          <w:szCs w:val="20"/>
        </w:rPr>
        <w:t>Dr.</w:t>
      </w:r>
      <w:proofErr w:type="spellEnd"/>
      <w:r>
        <w:rPr>
          <w:rFonts w:ascii="Myriad Pro" w:hAnsi="Myriad Pro" w:cs="Myriad Pro"/>
          <w:sz w:val="20"/>
          <w:szCs w:val="20"/>
        </w:rPr>
        <w:t xml:space="preserve"> Deary reports grants from Age UK, grants from Medical Research Council, grants from Engineering and Physical Sciences Re</w:t>
      </w:r>
      <w:r w:rsidR="00BD7FAA">
        <w:rPr>
          <w:rFonts w:ascii="Myriad Pro" w:hAnsi="Myriad Pro" w:cs="Myriad Pro"/>
          <w:sz w:val="20"/>
          <w:szCs w:val="20"/>
        </w:rPr>
        <w:t xml:space="preserve">search Council, </w:t>
      </w:r>
      <w:r>
        <w:rPr>
          <w:rFonts w:ascii="Myriad Pro" w:hAnsi="Myriad Pro" w:cs="Myriad Pro"/>
          <w:sz w:val="20"/>
          <w:szCs w:val="20"/>
        </w:rPr>
        <w:t>during the conduct of the study</w:t>
      </w:r>
      <w:proofErr w:type="gramStart"/>
      <w:r>
        <w:rPr>
          <w:rFonts w:ascii="Myriad Pro" w:hAnsi="Myriad Pro" w:cs="Myriad Pro"/>
          <w:sz w:val="20"/>
          <w:szCs w:val="20"/>
        </w:rPr>
        <w:t>; .</w:t>
      </w:r>
      <w:proofErr w:type="gramEnd"/>
    </w:p>
    <w:p w14:paraId="3ABE2898" w14:textId="425ED39D" w:rsidR="00EE689E" w:rsidRDefault="00EE689E" w:rsidP="00661B01">
      <w:pPr>
        <w:rPr>
          <w:rFonts w:ascii="Myriad Pro" w:hAnsi="Myriad Pro" w:cs="Myriad Pro"/>
          <w:sz w:val="20"/>
          <w:szCs w:val="20"/>
        </w:rPr>
      </w:pPr>
      <w:proofErr w:type="spellStart"/>
      <w:r>
        <w:rPr>
          <w:rFonts w:ascii="Myriad Pro" w:hAnsi="Myriad Pro" w:cs="Myriad Pro"/>
          <w:sz w:val="20"/>
          <w:szCs w:val="20"/>
        </w:rPr>
        <w:t>Dr.</w:t>
      </w:r>
      <w:proofErr w:type="spellEnd"/>
      <w:r>
        <w:rPr>
          <w:rFonts w:ascii="Myriad Pro" w:hAnsi="Myriad Pro" w:cs="Myriad Pro"/>
          <w:sz w:val="20"/>
          <w:szCs w:val="20"/>
        </w:rPr>
        <w:t xml:space="preserve"> Combet reports grants from Scottish Funding C</w:t>
      </w:r>
      <w:r w:rsidR="002C02C4">
        <w:rPr>
          <w:rFonts w:ascii="Myriad Pro" w:hAnsi="Myriad Pro" w:cs="Myriad Pro"/>
          <w:sz w:val="20"/>
          <w:szCs w:val="20"/>
        </w:rPr>
        <w:t xml:space="preserve">ouncil (Project for Scotland), </w:t>
      </w:r>
      <w:r>
        <w:rPr>
          <w:rFonts w:ascii="Myriad Pro" w:hAnsi="Myriad Pro" w:cs="Myriad Pro"/>
          <w:sz w:val="20"/>
          <w:szCs w:val="20"/>
        </w:rPr>
        <w:t>during the conduct of the study</w:t>
      </w:r>
      <w:proofErr w:type="gramStart"/>
      <w:r>
        <w:rPr>
          <w:rFonts w:ascii="Myriad Pro" w:hAnsi="Myriad Pro" w:cs="Myriad Pro"/>
          <w:sz w:val="20"/>
          <w:szCs w:val="20"/>
        </w:rPr>
        <w:t>; .</w:t>
      </w:r>
      <w:proofErr w:type="gramEnd"/>
    </w:p>
    <w:p w14:paraId="4C4EDA5D" w14:textId="77777777" w:rsidR="00EE689E" w:rsidRDefault="00EE689E" w:rsidP="00661B01">
      <w:pPr>
        <w:rPr>
          <w:rFonts w:ascii="Myriad Pro" w:hAnsi="Myriad Pro" w:cs="Myriad Pro"/>
          <w:sz w:val="20"/>
          <w:szCs w:val="20"/>
        </w:rPr>
      </w:pPr>
    </w:p>
    <w:p w14:paraId="13301BB7" w14:textId="37A40942" w:rsidR="0064480C" w:rsidRDefault="0064480C">
      <w:pPr>
        <w:rPr>
          <w:rFonts w:ascii="Myriad Pro" w:hAnsi="Myriad Pro" w:cs="Myriad Pro"/>
          <w:sz w:val="20"/>
          <w:szCs w:val="20"/>
        </w:rPr>
      </w:pPr>
      <w:r>
        <w:rPr>
          <w:rFonts w:ascii="Myriad Pro" w:hAnsi="Myriad Pro" w:cs="Myriad Pro"/>
          <w:sz w:val="20"/>
          <w:szCs w:val="20"/>
        </w:rPr>
        <w:br w:type="page"/>
      </w:r>
    </w:p>
    <w:p w14:paraId="5C5337F8" w14:textId="77777777" w:rsidR="00661B01" w:rsidRPr="000513A3" w:rsidRDefault="00661B01" w:rsidP="00661B01">
      <w:pPr>
        <w:rPr>
          <w:b/>
          <w:sz w:val="28"/>
          <w:szCs w:val="28"/>
        </w:rPr>
      </w:pPr>
      <w:r w:rsidRPr="000513A3">
        <w:rPr>
          <w:b/>
          <w:sz w:val="28"/>
          <w:szCs w:val="28"/>
        </w:rPr>
        <w:lastRenderedPageBreak/>
        <w:t>Abstract</w:t>
      </w:r>
    </w:p>
    <w:p w14:paraId="7F96FACF" w14:textId="77777777" w:rsidR="00661B01" w:rsidRDefault="00661B01" w:rsidP="00661B01"/>
    <w:p w14:paraId="5E20CF9C" w14:textId="77777777" w:rsidR="00504B2C" w:rsidRPr="00504B2C" w:rsidRDefault="00661B01" w:rsidP="00504B2C">
      <w:pPr>
        <w:spacing w:before="120" w:after="120" w:line="360" w:lineRule="auto"/>
        <w:jc w:val="both"/>
        <w:rPr>
          <w:rFonts w:cs="Arial"/>
        </w:rPr>
      </w:pPr>
      <w:r w:rsidRPr="00661B01">
        <w:rPr>
          <w:b/>
        </w:rPr>
        <w:t xml:space="preserve">Background: </w:t>
      </w:r>
      <w:r w:rsidR="008F7210">
        <w:rPr>
          <w:rFonts w:cs="Arial"/>
        </w:rPr>
        <w:t xml:space="preserve">Iodine deficiency </w:t>
      </w:r>
      <w:r w:rsidR="00504B2C" w:rsidRPr="00504B2C">
        <w:rPr>
          <w:rFonts w:cs="Arial"/>
        </w:rPr>
        <w:t>is one of the three key micronutrient deficiencies highlighted as major public health issues by the World Health Organisation</w:t>
      </w:r>
      <w:r w:rsidR="009E6BC1">
        <w:rPr>
          <w:rFonts w:cs="Arial"/>
        </w:rPr>
        <w:t>. Iodine defi</w:t>
      </w:r>
      <w:r w:rsidR="002E721C">
        <w:rPr>
          <w:rFonts w:cs="Arial"/>
        </w:rPr>
        <w:t>ciency is</w:t>
      </w:r>
      <w:r w:rsidR="002E721C" w:rsidRPr="00504B2C">
        <w:rPr>
          <w:rFonts w:cs="Arial"/>
        </w:rPr>
        <w:t xml:space="preserve"> </w:t>
      </w:r>
      <w:r w:rsidR="00504B2C" w:rsidRPr="00504B2C">
        <w:rPr>
          <w:rFonts w:cs="Arial"/>
        </w:rPr>
        <w:t xml:space="preserve">known to cause brain structural alterations likely to affect cognition. However, </w:t>
      </w:r>
      <w:r w:rsidR="00504B2C" w:rsidRPr="00504B2C">
        <w:rPr>
          <w:rFonts w:cs="Arial"/>
          <w:bCs/>
        </w:rPr>
        <w:t xml:space="preserve">it is not known </w:t>
      </w:r>
      <w:r w:rsidR="005E31A2">
        <w:rPr>
          <w:rFonts w:cs="Arial"/>
          <w:bCs/>
        </w:rPr>
        <w:t xml:space="preserve">whether or </w:t>
      </w:r>
      <w:r w:rsidR="00504B2C" w:rsidRPr="00504B2C">
        <w:rPr>
          <w:rFonts w:cs="Arial"/>
          <w:bCs/>
        </w:rPr>
        <w:t xml:space="preserve">how different </w:t>
      </w:r>
      <w:r w:rsidR="002E721C">
        <w:rPr>
          <w:rFonts w:cs="Arial"/>
          <w:bCs/>
        </w:rPr>
        <w:t xml:space="preserve">(lifelong) </w:t>
      </w:r>
      <w:r w:rsidR="00585211">
        <w:rPr>
          <w:rFonts w:cs="Arial"/>
          <w:bCs/>
        </w:rPr>
        <w:t xml:space="preserve">levels of </w:t>
      </w:r>
      <w:r w:rsidR="00504B2C" w:rsidRPr="00504B2C">
        <w:rPr>
          <w:rFonts w:cs="Arial"/>
          <w:bCs/>
        </w:rPr>
        <w:t xml:space="preserve">exposure to dietary iodine influences </w:t>
      </w:r>
      <w:r w:rsidR="00585211">
        <w:rPr>
          <w:rFonts w:cs="Arial"/>
          <w:bCs/>
        </w:rPr>
        <w:t>brain health and cogniti</w:t>
      </w:r>
      <w:r w:rsidR="005E31A2">
        <w:rPr>
          <w:rFonts w:cs="Arial"/>
          <w:bCs/>
        </w:rPr>
        <w:t>ve functions</w:t>
      </w:r>
      <w:r w:rsidR="00504B2C" w:rsidRPr="00504B2C">
        <w:rPr>
          <w:rFonts w:cs="Arial"/>
        </w:rPr>
        <w:t xml:space="preserve">. </w:t>
      </w:r>
    </w:p>
    <w:p w14:paraId="2BC9699E" w14:textId="5DFB00D4" w:rsidR="00661B01" w:rsidRPr="00504B2C" w:rsidRDefault="00504B2C" w:rsidP="00504B2C">
      <w:pPr>
        <w:spacing w:before="120" w:after="120" w:line="360" w:lineRule="auto"/>
      </w:pPr>
      <w:r>
        <w:rPr>
          <w:b/>
        </w:rPr>
        <w:t>Methods</w:t>
      </w:r>
      <w:r w:rsidR="00661B01">
        <w:t xml:space="preserve">: </w:t>
      </w:r>
      <w:r w:rsidR="003174D3">
        <w:t xml:space="preserve">From 1091 participants initially enrolled in </w:t>
      </w:r>
      <w:r w:rsidR="003174D3" w:rsidRPr="00504B2C">
        <w:t>The Lothian Birth Cohort Study 1936</w:t>
      </w:r>
      <w:r w:rsidR="003174D3">
        <w:t>, we obt</w:t>
      </w:r>
      <w:r w:rsidR="0099151F">
        <w:t xml:space="preserve">ained </w:t>
      </w:r>
      <w:r w:rsidR="00F23431">
        <w:t>whole diet</w:t>
      </w:r>
      <w:r w:rsidR="0099151F">
        <w:t xml:space="preserve"> data from 882</w:t>
      </w:r>
      <w:r w:rsidR="00F23431">
        <w:t>. Three</w:t>
      </w:r>
      <w:r w:rsidR="003174D3">
        <w:t xml:space="preserve"> years later</w:t>
      </w:r>
      <w:r w:rsidR="00F23431">
        <w:t>,</w:t>
      </w:r>
      <w:r w:rsidR="003174D3">
        <w:t xml:space="preserve"> </w:t>
      </w:r>
      <w:r w:rsidR="009B28DF">
        <w:t>from 866</w:t>
      </w:r>
      <w:r w:rsidR="0038072A">
        <w:t xml:space="preserve"> participants</w:t>
      </w:r>
      <w:r w:rsidR="009B28DF">
        <w:t xml:space="preserve"> </w:t>
      </w:r>
      <w:r w:rsidR="003174D3">
        <w:t>(</w:t>
      </w:r>
      <w:r w:rsidR="003174D3" w:rsidRPr="003174D3">
        <w:t xml:space="preserve">mean age 72 </w:t>
      </w:r>
      <w:proofErr w:type="spellStart"/>
      <w:r w:rsidR="003174D3" w:rsidRPr="003174D3">
        <w:t>yrs</w:t>
      </w:r>
      <w:proofErr w:type="spellEnd"/>
      <w:r w:rsidR="003174D3">
        <w:t xml:space="preserve">, </w:t>
      </w:r>
      <w:r w:rsidR="003174D3" w:rsidRPr="003174D3">
        <w:t>SD ±0.8)</w:t>
      </w:r>
      <w:r w:rsidR="00F23431">
        <w:t>, w</w:t>
      </w:r>
      <w:r w:rsidR="003174D3">
        <w:t xml:space="preserve">e </w:t>
      </w:r>
      <w:r w:rsidRPr="00504B2C">
        <w:t>obtained</w:t>
      </w:r>
      <w:r w:rsidR="003174D3">
        <w:t xml:space="preserve"> cognitive information and</w:t>
      </w:r>
      <w:r w:rsidRPr="00504B2C">
        <w:t xml:space="preserve"> ventricular, hippocampal and normal and abnormal tissue volumes from brain structural magnetic resonance imaging</w:t>
      </w:r>
      <w:r w:rsidR="009B28DF">
        <w:t xml:space="preserve"> scans (n=700)</w:t>
      </w:r>
      <w:r w:rsidRPr="00504B2C">
        <w:t xml:space="preserve">. We studied </w:t>
      </w:r>
      <w:r w:rsidR="002E721C">
        <w:t>the brain structure and cogniti</w:t>
      </w:r>
      <w:r w:rsidR="006639B2">
        <w:t>ve abilities</w:t>
      </w:r>
      <w:r w:rsidR="002E721C">
        <w:t xml:space="preserve"> of </w:t>
      </w:r>
      <w:r w:rsidRPr="00504B2C">
        <w:t>iodine-rich food avoiders</w:t>
      </w:r>
      <w:r w:rsidR="00AC5E97">
        <w:t>/low consumers</w:t>
      </w:r>
      <w:r w:rsidRPr="00504B2C">
        <w:t xml:space="preserve"> </w:t>
      </w:r>
      <w:r w:rsidR="00EF6ECB" w:rsidRPr="00EF6ECB">
        <w:t xml:space="preserve">versus those with a high intake in </w:t>
      </w:r>
      <w:r w:rsidR="00147142">
        <w:t>iodine-rich foods (namely dairy and fish)</w:t>
      </w:r>
      <w:r w:rsidR="0038072A">
        <w:t>.</w:t>
      </w:r>
    </w:p>
    <w:p w14:paraId="68E592FC" w14:textId="557D785E" w:rsidR="00504B2C" w:rsidRPr="00504B2C" w:rsidRDefault="00661B01" w:rsidP="0080268F">
      <w:pPr>
        <w:spacing w:before="120" w:after="120" w:line="360" w:lineRule="auto"/>
        <w:rPr>
          <w:rFonts w:cs="Arial"/>
        </w:rPr>
      </w:pPr>
      <w:r w:rsidRPr="003128AF">
        <w:rPr>
          <w:b/>
        </w:rPr>
        <w:t>Results</w:t>
      </w:r>
      <w:r w:rsidRPr="003128AF">
        <w:t xml:space="preserve">: </w:t>
      </w:r>
      <w:r w:rsidR="003128AF" w:rsidRPr="003128AF">
        <w:t xml:space="preserve">We identified individuals (n=189) with contrasting diets, i) belonging to </w:t>
      </w:r>
      <w:r w:rsidR="003128AF" w:rsidRPr="003128AF">
        <w:rPr>
          <w:rFonts w:cs="Arial"/>
          <w:lang w:val="en-US"/>
        </w:rPr>
        <w:t>the lowest quintiles for</w:t>
      </w:r>
      <w:r w:rsidR="00775BEE" w:rsidRPr="003128AF">
        <w:t xml:space="preserve"> dair</w:t>
      </w:r>
      <w:r w:rsidR="0038072A" w:rsidRPr="003128AF">
        <w:t>y</w:t>
      </w:r>
      <w:r w:rsidR="006365D2" w:rsidRPr="003128AF">
        <w:t xml:space="preserve"> </w:t>
      </w:r>
      <w:r w:rsidR="003128AF" w:rsidRPr="003128AF">
        <w:t>and fish consumption</w:t>
      </w:r>
      <w:r w:rsidR="0099151F" w:rsidRPr="003128AF">
        <w:t xml:space="preserve">, </w:t>
      </w:r>
      <w:r w:rsidR="003128AF" w:rsidRPr="003128AF">
        <w:t>ii) milk avoiders</w:t>
      </w:r>
      <w:r w:rsidR="00147142" w:rsidRPr="003128AF">
        <w:t xml:space="preserve">, </w:t>
      </w:r>
      <w:r w:rsidR="003128AF" w:rsidRPr="003128AF">
        <w:t>iii) belonging to the middle quintiles</w:t>
      </w:r>
      <w:r w:rsidR="0038072A" w:rsidRPr="003128AF">
        <w:t xml:space="preserve"> </w:t>
      </w:r>
      <w:r w:rsidR="003128AF" w:rsidRPr="003128AF">
        <w:t>for dairy and fish consumption</w:t>
      </w:r>
      <w:r w:rsidR="0080268F" w:rsidRPr="003128AF">
        <w:t>, and</w:t>
      </w:r>
      <w:r w:rsidR="0099151F" w:rsidRPr="003128AF">
        <w:t xml:space="preserve"> </w:t>
      </w:r>
      <w:r w:rsidR="003128AF" w:rsidRPr="003128AF">
        <w:t>iv) belonging to the middle quintiles for dairy and fish consumption</w:t>
      </w:r>
      <w:r w:rsidR="0080268F" w:rsidRPr="003128AF">
        <w:t>.</w:t>
      </w:r>
      <w:r w:rsidR="0080268F">
        <w:t xml:space="preserve"> </w:t>
      </w:r>
      <w:r w:rsidR="003128AF">
        <w:t xml:space="preserve">Iodine intake was secured mostly though the diet (n=10 supplement users) and was sufficient for most (75.1%, median 193 µg/day). </w:t>
      </w:r>
      <w:r w:rsidR="0080268F">
        <w:t xml:space="preserve">In individuals from these groups, </w:t>
      </w:r>
      <w:r w:rsidR="0081565F">
        <w:rPr>
          <w:rFonts w:cs="Arial"/>
          <w:lang w:val="en-US"/>
        </w:rPr>
        <w:t xml:space="preserve">brain lateral </w:t>
      </w:r>
      <w:r w:rsidR="00700340" w:rsidRPr="0081565F">
        <w:rPr>
          <w:rFonts w:cs="Arial"/>
          <w:lang w:val="en-US"/>
        </w:rPr>
        <w:t xml:space="preserve">ventricular volume </w:t>
      </w:r>
      <w:r w:rsidR="00504B2C" w:rsidRPr="0081565F">
        <w:rPr>
          <w:rFonts w:cs="Arial"/>
          <w:lang w:val="en-US"/>
        </w:rPr>
        <w:t xml:space="preserve">was </w:t>
      </w:r>
      <w:r w:rsidR="009C1B66" w:rsidRPr="0081565F">
        <w:rPr>
          <w:rFonts w:cs="Arial"/>
          <w:lang w:val="en-US"/>
        </w:rPr>
        <w:t xml:space="preserve">positively </w:t>
      </w:r>
      <w:r w:rsidR="00700340" w:rsidRPr="0081565F">
        <w:rPr>
          <w:rFonts w:cs="Arial"/>
          <w:lang w:val="en-US"/>
        </w:rPr>
        <w:t xml:space="preserve">associated with </w:t>
      </w:r>
      <w:r w:rsidR="0081565F" w:rsidRPr="0081565F">
        <w:rPr>
          <w:rFonts w:cs="Arial"/>
          <w:lang w:val="en-US"/>
        </w:rPr>
        <w:t xml:space="preserve">fat, energy and protein </w:t>
      </w:r>
      <w:r w:rsidR="00504B2C" w:rsidRPr="0081565F">
        <w:rPr>
          <w:rFonts w:cs="Arial"/>
          <w:lang w:val="en-US"/>
        </w:rPr>
        <w:t>intake.</w:t>
      </w:r>
      <w:r w:rsidR="00504B2C" w:rsidRPr="00504B2C">
        <w:rPr>
          <w:rFonts w:cs="Arial"/>
          <w:lang w:val="en-US"/>
        </w:rPr>
        <w:t xml:space="preserve"> The </w:t>
      </w:r>
      <w:r w:rsidR="00233DC7">
        <w:rPr>
          <w:rFonts w:cs="Arial"/>
          <w:lang w:val="en-US"/>
        </w:rPr>
        <w:t xml:space="preserve">associations between </w:t>
      </w:r>
      <w:r w:rsidR="00504B2C" w:rsidRPr="00504B2C">
        <w:rPr>
          <w:rFonts w:cs="Arial"/>
          <w:lang w:val="en-US"/>
        </w:rPr>
        <w:t xml:space="preserve">iodine </w:t>
      </w:r>
      <w:r w:rsidR="00233DC7">
        <w:rPr>
          <w:rFonts w:cs="Arial"/>
          <w:lang w:val="en-US"/>
        </w:rPr>
        <w:t xml:space="preserve">intake and </w:t>
      </w:r>
      <w:r w:rsidR="00700340">
        <w:rPr>
          <w:rFonts w:cs="Arial"/>
          <w:lang w:val="en-US"/>
        </w:rPr>
        <w:t xml:space="preserve">brain </w:t>
      </w:r>
      <w:r w:rsidR="00233DC7">
        <w:rPr>
          <w:rFonts w:cs="Arial"/>
          <w:lang w:val="en-US"/>
        </w:rPr>
        <w:t>ventricular volume and between</w:t>
      </w:r>
      <w:r w:rsidR="004D1E81">
        <w:rPr>
          <w:rFonts w:cs="Arial"/>
          <w:lang w:val="en-US"/>
        </w:rPr>
        <w:t xml:space="preserve"> </w:t>
      </w:r>
      <w:r w:rsidR="002E721C">
        <w:rPr>
          <w:rFonts w:cs="Arial"/>
          <w:lang w:val="en-US"/>
        </w:rPr>
        <w:t xml:space="preserve">consumption of </w:t>
      </w:r>
      <w:r w:rsidR="00504B2C" w:rsidRPr="00504B2C">
        <w:rPr>
          <w:rFonts w:cs="Arial"/>
          <w:lang w:val="en-US"/>
        </w:rPr>
        <w:t xml:space="preserve">fish products (including fish cakes and fish-containing pasties) </w:t>
      </w:r>
      <w:r w:rsidR="00233DC7">
        <w:rPr>
          <w:rFonts w:cs="Arial"/>
          <w:lang w:val="en-US"/>
        </w:rPr>
        <w:t>and</w:t>
      </w:r>
      <w:r w:rsidR="00504B2C" w:rsidRPr="00504B2C">
        <w:rPr>
          <w:rFonts w:cs="Arial"/>
          <w:lang w:val="en-US"/>
        </w:rPr>
        <w:t xml:space="preserve"> white matter </w:t>
      </w:r>
      <w:proofErr w:type="spellStart"/>
      <w:r w:rsidR="00504B2C" w:rsidRPr="00504B2C">
        <w:rPr>
          <w:rFonts w:cs="Arial"/>
          <w:lang w:val="en-US"/>
        </w:rPr>
        <w:t>hyperintensities</w:t>
      </w:r>
      <w:proofErr w:type="spellEnd"/>
      <w:r w:rsidR="00504B2C" w:rsidRPr="00504B2C">
        <w:rPr>
          <w:rFonts w:cs="Arial"/>
          <w:lang w:val="en-US"/>
        </w:rPr>
        <w:t xml:space="preserve"> (p=0.03)</w:t>
      </w:r>
      <w:r w:rsidR="004C53D8">
        <w:rPr>
          <w:rFonts w:cs="Arial"/>
          <w:lang w:val="en-US"/>
        </w:rPr>
        <w:t xml:space="preserve"> </w:t>
      </w:r>
      <w:r w:rsidR="00233DC7">
        <w:rPr>
          <w:rFonts w:cs="Arial"/>
          <w:lang w:val="en-US"/>
        </w:rPr>
        <w:t xml:space="preserve">the latest being </w:t>
      </w:r>
      <w:r w:rsidR="004C53D8">
        <w:rPr>
          <w:rFonts w:cs="Arial"/>
          <w:lang w:val="en-US"/>
        </w:rPr>
        <w:t>compounded by sodium, proteins and saturated fats</w:t>
      </w:r>
      <w:r w:rsidR="00233DC7">
        <w:rPr>
          <w:rFonts w:cs="Arial"/>
          <w:lang w:val="en-US"/>
        </w:rPr>
        <w:t>,</w:t>
      </w:r>
      <w:r w:rsidR="004C53D8">
        <w:rPr>
          <w:rFonts w:cs="Arial"/>
          <w:lang w:val="en-US"/>
        </w:rPr>
        <w:t xml:space="preserve"> disappeared after type 1 error correction</w:t>
      </w:r>
      <w:r w:rsidR="00504B2C" w:rsidRPr="00504B2C">
        <w:rPr>
          <w:rFonts w:cs="Arial"/>
          <w:lang w:val="en-US"/>
        </w:rPr>
        <w:t>.</w:t>
      </w:r>
    </w:p>
    <w:p w14:paraId="4A44BD6A" w14:textId="1797B396" w:rsidR="00B1392A" w:rsidRPr="00B1392A" w:rsidRDefault="00661B01" w:rsidP="00B1392A">
      <w:pPr>
        <w:spacing w:before="120" w:after="120" w:line="360" w:lineRule="auto"/>
        <w:jc w:val="both"/>
        <w:rPr>
          <w:rFonts w:cs="Arial"/>
        </w:rPr>
      </w:pPr>
      <w:r w:rsidRPr="00504B2C">
        <w:rPr>
          <w:b/>
        </w:rPr>
        <w:t>Conclusion</w:t>
      </w:r>
      <w:r w:rsidRPr="00504B2C">
        <w:t xml:space="preserve">: </w:t>
      </w:r>
      <w:r w:rsidR="00504B2C" w:rsidRPr="00504B2C">
        <w:rPr>
          <w:rFonts w:cs="Arial"/>
          <w:lang w:val="en-US"/>
        </w:rPr>
        <w:t>In this large Scottish older cohort</w:t>
      </w:r>
      <w:r w:rsidR="002E721C">
        <w:rPr>
          <w:rFonts w:cs="Arial"/>
          <w:lang w:val="en-US"/>
        </w:rPr>
        <w:t>,</w:t>
      </w:r>
      <w:r w:rsidR="00504B2C" w:rsidRPr="00504B2C">
        <w:rPr>
          <w:rFonts w:cs="Arial"/>
          <w:lang w:val="en-US"/>
        </w:rPr>
        <w:t xml:space="preserve"> the propo</w:t>
      </w:r>
      <w:r w:rsidR="00E55AED">
        <w:rPr>
          <w:rFonts w:cs="Arial"/>
          <w:lang w:val="en-US"/>
        </w:rPr>
        <w:t xml:space="preserve">rtion of individuals </w:t>
      </w:r>
      <w:r w:rsidR="006365D2">
        <w:rPr>
          <w:rFonts w:cs="Arial"/>
          <w:lang w:val="en-US"/>
        </w:rPr>
        <w:t>reporting</w:t>
      </w:r>
      <w:r w:rsidR="00E55AED">
        <w:rPr>
          <w:rFonts w:cs="Arial"/>
          <w:lang w:val="en-US"/>
        </w:rPr>
        <w:t xml:space="preserve"> </w:t>
      </w:r>
      <w:r w:rsidR="00B1392A">
        <w:rPr>
          <w:rFonts w:cs="Arial"/>
          <w:lang w:val="en-US"/>
        </w:rPr>
        <w:t>extreme</w:t>
      </w:r>
      <w:r w:rsidR="00E55AED">
        <w:rPr>
          <w:rFonts w:cs="Arial"/>
          <w:lang w:val="en-US"/>
        </w:rPr>
        <w:t xml:space="preserve"> (low vs. high)</w:t>
      </w:r>
      <w:r w:rsidR="00B1392A">
        <w:rPr>
          <w:rFonts w:cs="Arial"/>
          <w:lang w:val="en-US"/>
        </w:rPr>
        <w:t>/medi</w:t>
      </w:r>
      <w:r w:rsidR="00AD37B0">
        <w:rPr>
          <w:rFonts w:cs="Arial"/>
          <w:lang w:val="en-US"/>
        </w:rPr>
        <w:t>um</w:t>
      </w:r>
      <w:r w:rsidR="007E70A3">
        <w:rPr>
          <w:rFonts w:cs="Arial"/>
          <w:lang w:val="en-US"/>
        </w:rPr>
        <w:t xml:space="preserve"> iodine consumption is small. In these individuals,</w:t>
      </w:r>
      <w:r w:rsidR="00B1392A">
        <w:rPr>
          <w:rFonts w:cs="Arial"/>
          <w:lang w:val="en-US"/>
        </w:rPr>
        <w:t xml:space="preserve"> l</w:t>
      </w:r>
      <w:r w:rsidR="00504B2C" w:rsidRPr="00504B2C">
        <w:rPr>
          <w:rFonts w:cs="Arial"/>
          <w:lang w:val="en-US"/>
        </w:rPr>
        <w:t xml:space="preserve">ow iodine-rich food intake was </w:t>
      </w:r>
      <w:r w:rsidR="0031407C">
        <w:rPr>
          <w:rFonts w:cs="Arial"/>
          <w:lang w:val="en-US"/>
        </w:rPr>
        <w:t>associated</w:t>
      </w:r>
      <w:r w:rsidR="00504B2C" w:rsidRPr="00504B2C">
        <w:rPr>
          <w:rFonts w:cs="Arial"/>
          <w:lang w:val="en-US"/>
        </w:rPr>
        <w:t xml:space="preserve"> with increased brain </w:t>
      </w:r>
      <w:r w:rsidR="004C53D8">
        <w:rPr>
          <w:rFonts w:cs="Arial"/>
          <w:lang w:val="en-US"/>
        </w:rPr>
        <w:t>volume shrinkage</w:t>
      </w:r>
      <w:r w:rsidR="00B1392A">
        <w:rPr>
          <w:rFonts w:cs="Arial"/>
          <w:lang w:val="en-US"/>
        </w:rPr>
        <w:t>, r</w:t>
      </w:r>
      <w:r w:rsidR="006B2980">
        <w:rPr>
          <w:rFonts w:cs="Arial"/>
          <w:lang w:val="en-US"/>
        </w:rPr>
        <w:t>a</w:t>
      </w:r>
      <w:r w:rsidR="00B1392A">
        <w:rPr>
          <w:rFonts w:cs="Arial"/>
          <w:lang w:val="en-US"/>
        </w:rPr>
        <w:t xml:space="preserve">ising </w:t>
      </w:r>
      <w:r w:rsidR="00B1392A" w:rsidRPr="00B1392A">
        <w:rPr>
          <w:rFonts w:cs="Arial"/>
        </w:rPr>
        <w:t xml:space="preserve">an important hypothesis </w:t>
      </w:r>
      <w:r w:rsidR="00B1392A">
        <w:rPr>
          <w:rFonts w:cs="Arial"/>
        </w:rPr>
        <w:t>worth be</w:t>
      </w:r>
      <w:r w:rsidR="006B2980">
        <w:rPr>
          <w:rFonts w:cs="Arial"/>
        </w:rPr>
        <w:t>ing</w:t>
      </w:r>
      <w:r w:rsidR="00B1392A">
        <w:rPr>
          <w:rFonts w:cs="Arial"/>
        </w:rPr>
        <w:t xml:space="preserve"> explored for</w:t>
      </w:r>
      <w:r w:rsidR="00B1392A" w:rsidRPr="00B1392A">
        <w:rPr>
          <w:rFonts w:cs="Arial"/>
        </w:rPr>
        <w:t xml:space="preserve"> design</w:t>
      </w:r>
      <w:r w:rsidR="00B1392A">
        <w:rPr>
          <w:rFonts w:cs="Arial"/>
        </w:rPr>
        <w:t>ing</w:t>
      </w:r>
      <w:r w:rsidR="00B1392A" w:rsidRPr="00B1392A">
        <w:rPr>
          <w:rFonts w:cs="Arial"/>
        </w:rPr>
        <w:t xml:space="preserve"> appropriate guidelines.</w:t>
      </w:r>
    </w:p>
    <w:p w14:paraId="4A236C9D" w14:textId="77777777" w:rsidR="00504B2C" w:rsidRDefault="00504B2C" w:rsidP="00504B2C">
      <w:pPr>
        <w:spacing w:before="120" w:after="120" w:line="360" w:lineRule="auto"/>
        <w:jc w:val="both"/>
        <w:rPr>
          <w:rFonts w:cs="Arial"/>
        </w:rPr>
      </w:pPr>
    </w:p>
    <w:p w14:paraId="1BA41E53" w14:textId="022C14DF" w:rsidR="00562487" w:rsidRPr="00192FF2" w:rsidRDefault="00562487" w:rsidP="00504B2C">
      <w:pPr>
        <w:spacing w:before="120" w:after="120" w:line="360" w:lineRule="auto"/>
        <w:jc w:val="both"/>
        <w:rPr>
          <w:rFonts w:cs="Arial"/>
          <w:b/>
          <w:sz w:val="24"/>
          <w:szCs w:val="24"/>
        </w:rPr>
      </w:pPr>
      <w:r w:rsidRPr="00192FF2">
        <w:rPr>
          <w:rFonts w:cs="Arial"/>
          <w:b/>
          <w:sz w:val="24"/>
          <w:szCs w:val="24"/>
        </w:rPr>
        <w:t>Keywords</w:t>
      </w:r>
    </w:p>
    <w:p w14:paraId="702963C2" w14:textId="27FFCB15" w:rsidR="00562487" w:rsidRPr="00504B2C" w:rsidRDefault="00562487" w:rsidP="00504B2C">
      <w:pPr>
        <w:spacing w:before="120" w:after="120" w:line="360" w:lineRule="auto"/>
        <w:jc w:val="both"/>
        <w:rPr>
          <w:rFonts w:cs="Arial"/>
        </w:rPr>
      </w:pPr>
      <w:r>
        <w:rPr>
          <w:rFonts w:cs="Arial"/>
        </w:rPr>
        <w:t>Ageing</w:t>
      </w:r>
      <w:r w:rsidR="00192FF2">
        <w:rPr>
          <w:rFonts w:cs="Arial"/>
        </w:rPr>
        <w:t>, iodine, brain, MRI</w:t>
      </w:r>
    </w:p>
    <w:p w14:paraId="4C0AAC75" w14:textId="77777777" w:rsidR="00661B01" w:rsidRDefault="00661B01" w:rsidP="00661B01"/>
    <w:p w14:paraId="5086F425" w14:textId="77777777" w:rsidR="00661B01" w:rsidRDefault="00661B01">
      <w:r>
        <w:br w:type="page"/>
      </w:r>
    </w:p>
    <w:p w14:paraId="64512201" w14:textId="2840AE58" w:rsidR="00661B01" w:rsidRPr="00117E7B" w:rsidRDefault="00661B01" w:rsidP="00117E7B">
      <w:pPr>
        <w:pStyle w:val="ListParagraph"/>
        <w:numPr>
          <w:ilvl w:val="0"/>
          <w:numId w:val="2"/>
        </w:numPr>
        <w:rPr>
          <w:b/>
          <w:sz w:val="28"/>
          <w:szCs w:val="28"/>
        </w:rPr>
      </w:pPr>
      <w:r w:rsidRPr="00117E7B">
        <w:rPr>
          <w:b/>
          <w:sz w:val="28"/>
          <w:szCs w:val="28"/>
        </w:rPr>
        <w:lastRenderedPageBreak/>
        <w:t>Introduction</w:t>
      </w:r>
    </w:p>
    <w:p w14:paraId="17927627" w14:textId="250E336C" w:rsidR="00661B01" w:rsidRDefault="008F5E2C" w:rsidP="008667BD">
      <w:pPr>
        <w:spacing w:line="360" w:lineRule="auto"/>
        <w:jc w:val="both"/>
      </w:pPr>
      <w:r>
        <w:t xml:space="preserve">Iodine </w:t>
      </w:r>
      <w:r w:rsidR="00661B01">
        <w:t>is one of the three key micronutrient</w:t>
      </w:r>
      <w:r w:rsidR="00D871AA">
        <w:t xml:space="preserve"> for which</w:t>
      </w:r>
      <w:r w:rsidR="00661B01">
        <w:t xml:space="preserve"> deficienc</w:t>
      </w:r>
      <w:r w:rsidR="00D871AA">
        <w:t>y is</w:t>
      </w:r>
      <w:r w:rsidR="00661B01">
        <w:t xml:space="preserve"> highlighted as </w:t>
      </w:r>
      <w:r w:rsidR="00D871AA">
        <w:t xml:space="preserve">a </w:t>
      </w:r>
      <w:r w:rsidR="00661B01">
        <w:t>major public health issue by the World Health Organisation, and the most preventable cause of mental retardation and brain damage</w:t>
      </w:r>
      <w:r w:rsidR="005502D8">
        <w:t xml:space="preserve"> </w:t>
      </w:r>
      <w:r w:rsidR="00CB6193">
        <w:fldChar w:fldCharType="begin"/>
      </w:r>
      <w:r w:rsidR="001544FE">
        <w:instrText xml:space="preserve"> ADDIN REFMGR.CITE &lt;Refman&gt;&lt;Cite&gt;&lt;Author&gt;Andersson&lt;/Author&gt;&lt;Year&gt;2012&lt;/Year&gt;&lt;RecNum&gt;21586&lt;/RecNum&gt;&lt;IDText&gt;Global iodine status in 2011 and trends over the past decade&lt;/IDText&gt;&lt;MDL Ref_Type="Journal"&gt;&lt;Ref_Type&gt;Journal&lt;/Ref_Type&gt;&lt;Ref_ID&gt;21586&lt;/Ref_ID&gt;&lt;Title_Primary&gt;&lt;f name="Times New Roman"&gt;Global iodine status in 2011 and trends over the past decade&lt;/f&gt;&lt;/Title_Primary&gt;&lt;Authors_Primary&gt;Andersson,M.&lt;/Authors_Primary&gt;&lt;Authors_Primary&gt;Karumbunathan,V.&lt;/Authors_Primary&gt;&lt;Authors_Primary&gt;Zimmermann,M.B.&lt;/Authors_Primary&gt;&lt;Date_Primary&gt;2012/4/1&lt;/Date_Primary&gt;&lt;Keywords&gt;and&lt;/Keywords&gt;&lt;Keywords&gt;trends&lt;/Keywords&gt;&lt;Reprint&gt;Not in File&lt;/Reprint&gt;&lt;Start_Page&gt;744&lt;/Start_Page&gt;&lt;End_Page&gt;750&lt;/End_Page&gt;&lt;Periodical&gt;J Nutr&lt;/Periodical&gt;&lt;Volume&gt;142&lt;/Volume&gt;&lt;Issue&gt;4&lt;/Issue&gt;&lt;ZZ_JournalFull&gt;&lt;f name="System"&gt;J Nutr&lt;/f&gt;&lt;/ZZ_JournalFull&gt;&lt;ZZ_WorkformID&gt;1&lt;/ZZ_WorkformID&gt;&lt;/MDL&gt;&lt;/Cite&gt;&lt;/Refman&gt;</w:instrText>
      </w:r>
      <w:r w:rsidR="00CB6193">
        <w:fldChar w:fldCharType="separate"/>
      </w:r>
      <w:r w:rsidR="003C07F6">
        <w:rPr>
          <w:noProof/>
        </w:rPr>
        <w:t>(1)</w:t>
      </w:r>
      <w:r w:rsidR="00CB6193">
        <w:fldChar w:fldCharType="end"/>
      </w:r>
      <w:r w:rsidR="00661B01">
        <w:t xml:space="preserve">. </w:t>
      </w:r>
      <w:r w:rsidR="00785889">
        <w:t>While the role</w:t>
      </w:r>
      <w:r w:rsidR="009B07EE">
        <w:t xml:space="preserve"> of iodine in neurodevelopment </w:t>
      </w:r>
      <w:r w:rsidR="00785889">
        <w:t>has become better unde</w:t>
      </w:r>
      <w:r w:rsidR="00A37D18">
        <w:t xml:space="preserve">rstood in early life, there is </w:t>
      </w:r>
      <w:r w:rsidR="00785889">
        <w:t xml:space="preserve">little evidence available regarding the lifelong impact of iodine on brain function. </w:t>
      </w:r>
      <w:r w:rsidR="00661B01">
        <w:t xml:space="preserve">European countries are usually assumed to </w:t>
      </w:r>
      <w:r w:rsidR="009B07EE">
        <w:t xml:space="preserve">have </w:t>
      </w:r>
      <w:r w:rsidR="00661B01">
        <w:t>sufficient</w:t>
      </w:r>
      <w:r w:rsidR="009B07EE">
        <w:t xml:space="preserve"> dietary iodine intake</w:t>
      </w:r>
      <w:r w:rsidR="00661B01">
        <w:t xml:space="preserve">, </w:t>
      </w:r>
      <w:r w:rsidR="005502D8">
        <w:t xml:space="preserve">but </w:t>
      </w:r>
      <w:r w:rsidR="00785889">
        <w:t>the UK has been classified as</w:t>
      </w:r>
      <w:r w:rsidR="00B1392A">
        <w:t xml:space="preserve"> </w:t>
      </w:r>
      <w:r w:rsidR="00785889">
        <w:t>insufficient</w:t>
      </w:r>
      <w:r w:rsidR="00C87F58">
        <w:t xml:space="preserve"> </w:t>
      </w:r>
      <w:r w:rsidR="00A37D18">
        <w:fldChar w:fldCharType="begin">
          <w:fldData xml:space="preserve">PFJlZm1hbj48Q2l0ZT48QXV0aG9yPlB1YmxpYyBIZWFsdGggRW5nbGFuZDwvQXV0aG9yPjxZZWFy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</w:fldData>
        </w:fldChar>
      </w:r>
      <w:r w:rsidR="001544FE">
        <w:instrText xml:space="preserve"> ADDIN REFMGR.CITE </w:instrText>
      </w:r>
      <w:r w:rsidR="001544FE">
        <w:fldChar w:fldCharType="begin">
          <w:fldData xml:space="preserve">PFJlZm1hbj48Q2l0ZT48QXV0aG9yPlB1YmxpYyBIZWFsdGggRW5nbGFuZDwvQXV0aG9yPjxZZWFy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</w:fldData>
        </w:fldChar>
      </w:r>
      <w:r w:rsidR="001544FE">
        <w:instrText xml:space="preserve"> ADDIN EN.CITE.DATA </w:instrText>
      </w:r>
      <w:r w:rsidR="001544FE">
        <w:fldChar w:fldCharType="end"/>
      </w:r>
      <w:r w:rsidR="00A37D18">
        <w:fldChar w:fldCharType="separate"/>
      </w:r>
      <w:r w:rsidR="003C07F6">
        <w:rPr>
          <w:noProof/>
        </w:rPr>
        <w:t>(2,3)</w:t>
      </w:r>
      <w:r w:rsidR="00A37D18">
        <w:fldChar w:fldCharType="end"/>
      </w:r>
      <w:r w:rsidR="00661B01">
        <w:t>. Th</w:t>
      </w:r>
      <w:r w:rsidR="005502D8">
        <w:t>is</w:t>
      </w:r>
      <w:r w:rsidR="00661B01">
        <w:t xml:space="preserve"> is a particular threat to pregnant women and their offspring, since insufficient </w:t>
      </w:r>
      <w:r w:rsidR="005502D8">
        <w:t xml:space="preserve">early </w:t>
      </w:r>
      <w:r w:rsidR="00661B01">
        <w:t>exposure to iodine lead</w:t>
      </w:r>
      <w:r w:rsidR="0038072A">
        <w:t>s</w:t>
      </w:r>
      <w:r w:rsidR="00661B01">
        <w:t xml:space="preserve"> to blunted mental capacity. Indeed, the offspring of mothers taking part in the ALSPAC study (</w:t>
      </w:r>
      <w:hyperlink r:id="rId9" w:history="1">
        <w:r w:rsidR="007770A4" w:rsidRPr="00A85A53">
          <w:rPr>
            <w:rStyle w:val="Hyperlink"/>
          </w:rPr>
          <w:t>www.bristol.ac.uk/alspac/</w:t>
        </w:r>
      </w:hyperlink>
      <w:r w:rsidR="00661B01">
        <w:t xml:space="preserve">) had lower IQ at age 8 if maternal iodine in pregnancy had been in the </w:t>
      </w:r>
      <w:r w:rsidR="00737D82">
        <w:t>lowest</w:t>
      </w:r>
      <w:r w:rsidR="005502D8">
        <w:t xml:space="preserve"> </w:t>
      </w:r>
      <w:r w:rsidR="00661B01">
        <w:t>quartile</w:t>
      </w:r>
      <w:r w:rsidR="00D871AA">
        <w:t xml:space="preserve"> </w:t>
      </w:r>
      <w:r w:rsidR="00CB6193">
        <w:fldChar w:fldCharType="begin"/>
      </w:r>
      <w:r w:rsidR="001544FE">
        <w:instrText xml:space="preserve"> ADDIN REFMGR.CITE &lt;Refman&gt;&lt;Cite&gt;&lt;Author&gt;Bath&lt;/Author&gt;&lt;Year&gt;2013&lt;/Year&gt;&lt;RecNum&gt;21588&lt;/RecNum&gt;&lt;IDText&gt;Effect of inadequate iodine status in UK pregnant women on cognitive outcomes in their children: results from the Avon Longitudinal Study of Parents and Children (ALSPAC)&lt;/IDText&gt;&lt;MDL Ref_Type="Journal"&gt;&lt;Ref_Type&gt;Journal&lt;/Ref_Type&gt;&lt;Ref_ID&gt;21588&lt;/Ref_ID&gt;&lt;Title_Primary&gt;&lt;f name="Times New Roman"&gt;Effect of inadequate iodine status in UK pregnant women on cognitive outcomes in their children: results from the Avon Longitudinal Study of Parents and Children (ALSPAC)&lt;/f&gt;&lt;/Title_Primary&gt;&lt;Authors_Primary&gt;Bath,S.C.&lt;/Authors_Primary&gt;&lt;Authors_Primary&gt;Steer,C.D.&lt;/Authors_Primary&gt;&lt;Authors_Primary&gt;Golding,J.&lt;/Authors_Primary&gt;&lt;Authors_Primary&gt;Emmett,P.&lt;/Authors_Primary&gt;&lt;Authors_Primary&gt;Rayman,M.P.&lt;/Authors_Primary&gt;&lt;Date_Primary&gt;2013/11/27&lt;/Date_Primary&gt;&lt;Keywords&gt;of&lt;/Keywords&gt;&lt;Keywords&gt;Women&lt;/Keywords&gt;&lt;Keywords&gt;outcome&lt;/Keywords&gt;&lt;Keywords&gt;CHILDREN&lt;/Keywords&gt;&lt;Keywords&gt;Longitudinal&lt;/Keywords&gt;&lt;Keywords&gt;Longitudinal Studies&lt;/Keywords&gt;&lt;Keywords&gt;Study&lt;/Keywords&gt;&lt;Keywords&gt;Parents&lt;/Keywords&gt;&lt;Keywords&gt;and&lt;/Keywords&gt;&lt;Reprint&gt;Not in File&lt;/Reprint&gt;&lt;Start_Page&gt;331&lt;/Start_Page&gt;&lt;End_Page&gt;337&lt;/End_Page&gt;&lt;Periodical&gt;Lancet&lt;/Periodical&gt;&lt;Volume&gt;382&lt;/Volume&gt;&lt;Issue&gt;9889&lt;/Issue&gt;&lt;ZZ_JournalFull&gt;&lt;f name="System"&gt;Lancet&lt;/f&gt;&lt;/ZZ_JournalFull&gt;&lt;ZZ_WorkformID&gt;1&lt;/ZZ_WorkformID&gt;&lt;/MDL&gt;&lt;/Cite&gt;&lt;/Refman&gt;</w:instrText>
      </w:r>
      <w:r w:rsidR="00CB6193">
        <w:fldChar w:fldCharType="separate"/>
      </w:r>
      <w:r w:rsidR="003C07F6">
        <w:rPr>
          <w:noProof/>
        </w:rPr>
        <w:t>(4)</w:t>
      </w:r>
      <w:r w:rsidR="00CB6193">
        <w:fldChar w:fldCharType="end"/>
      </w:r>
      <w:r w:rsidR="00661B01">
        <w:t xml:space="preserve">. </w:t>
      </w:r>
      <w:r w:rsidR="00EA2E71">
        <w:t xml:space="preserve">Childhood IQ is known to be </w:t>
      </w:r>
      <w:r w:rsidR="0038072A">
        <w:t>one of the key</w:t>
      </w:r>
      <w:r w:rsidR="00EA2E71">
        <w:t xml:space="preserve"> determinant</w:t>
      </w:r>
      <w:r w:rsidR="0038072A">
        <w:t>s</w:t>
      </w:r>
      <w:r w:rsidR="00EA2E71">
        <w:t xml:space="preserve"> of later life cognition and wellbeing, </w:t>
      </w:r>
      <w:r w:rsidR="0038072A">
        <w:t xml:space="preserve">and is </w:t>
      </w:r>
      <w:r w:rsidR="00EA2E71">
        <w:t xml:space="preserve">associated </w:t>
      </w:r>
      <w:r w:rsidR="00737D82">
        <w:t>with</w:t>
      </w:r>
      <w:r w:rsidR="00EA2E71">
        <w:t xml:space="preserve"> mortality, morbidity and frailty in old age</w:t>
      </w:r>
      <w:r w:rsidR="00C87F58">
        <w:t xml:space="preserve"> </w:t>
      </w:r>
      <w:r w:rsidR="00CB6193">
        <w:fldChar w:fldCharType="begin">
          <w:fldData xml:space="preserve">PFJlZm1hbj48Q2l0ZT48QXV0aG9yPkRlYXJ5PC9BdXRob3I+PFllYXI+MjAwNDwvWWVhcj48UmVj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</w:fldData>
        </w:fldChar>
      </w:r>
      <w:r w:rsidR="001544FE">
        <w:instrText xml:space="preserve"> ADDIN REFMGR.CITE </w:instrText>
      </w:r>
      <w:r w:rsidR="001544FE">
        <w:fldChar w:fldCharType="begin">
          <w:fldData xml:space="preserve">PFJlZm1hbj48Q2l0ZT48QXV0aG9yPkRlYXJ5PC9BdXRob3I+PFllYXI+MjAwNDwvWWVhcj48UmVj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</w:fldData>
        </w:fldChar>
      </w:r>
      <w:r w:rsidR="001544FE">
        <w:instrText xml:space="preserve"> ADDIN EN.CITE.DATA </w:instrText>
      </w:r>
      <w:r w:rsidR="001544FE">
        <w:fldChar w:fldCharType="end"/>
      </w:r>
      <w:r w:rsidR="00CB6193">
        <w:fldChar w:fldCharType="separate"/>
      </w:r>
      <w:r w:rsidR="003C07F6">
        <w:rPr>
          <w:noProof/>
        </w:rPr>
        <w:t>(5)</w:t>
      </w:r>
      <w:r w:rsidR="00CB6193">
        <w:fldChar w:fldCharType="end"/>
      </w:r>
      <w:r w:rsidR="00810215">
        <w:t>.</w:t>
      </w:r>
      <w:r w:rsidR="00EA2E71">
        <w:t xml:space="preserve"> </w:t>
      </w:r>
    </w:p>
    <w:p w14:paraId="68CB7E52" w14:textId="69483666" w:rsidR="00661B01" w:rsidRDefault="00661B01" w:rsidP="008667BD">
      <w:pPr>
        <w:spacing w:line="360" w:lineRule="auto"/>
        <w:jc w:val="both"/>
      </w:pPr>
      <w:r>
        <w:t xml:space="preserve">Iodine is obtained mainly through the diet, </w:t>
      </w:r>
      <w:r w:rsidR="00D871AA">
        <w:t>with</w:t>
      </w:r>
      <w:r>
        <w:t xml:space="preserve"> no ongoing iodine-for</w:t>
      </w:r>
      <w:r w:rsidR="00D03CD8">
        <w:t>tification programme in the UK.</w:t>
      </w:r>
      <w:r>
        <w:t xml:space="preserve"> The main sources of iodine in the British diet are milk and dairy products, as well as fish and seafood. While cross-sectional surveys revealed mild insufficiency in the population  </w:t>
      </w:r>
      <w:r w:rsidR="00CB6193">
        <w:fldChar w:fldCharType="begin"/>
      </w:r>
      <w:r w:rsidR="001544FE">
        <w:instrText xml:space="preserve"> ADDIN REFMGR.CITE &lt;Refman&gt;&lt;Cite&gt;&lt;Author&gt;Andersson&lt;/Author&gt;&lt;Year&gt;2012&lt;/Year&gt;&lt;RecNum&gt;21586&lt;/RecNum&gt;&lt;IDText&gt;Global iodine status in 2011 and trends over the past decade&lt;/IDText&gt;&lt;MDL Ref_Type="Journal"&gt;&lt;Ref_Type&gt;Journal&lt;/Ref_Type&gt;&lt;Ref_ID&gt;21586&lt;/Ref_ID&gt;&lt;Title_Primary&gt;&lt;f name="Times New Roman"&gt;Global iodine status in 2011 and trends over the past decade&lt;/f&gt;&lt;/Title_Primary&gt;&lt;Authors_Primary&gt;Andersson,M.&lt;/Authors_Primary&gt;&lt;Authors_Primary&gt;Karumbunathan,V.&lt;/Authors_Primary&gt;&lt;Authors_Primary&gt;Zimmermann,M.B.&lt;/Authors_Primary&gt;&lt;Date_Primary&gt;2012/4/1&lt;/Date_Primary&gt;&lt;Keywords&gt;and&lt;/Keywords&gt;&lt;Keywords&gt;trends&lt;/Keywords&gt;&lt;Reprint&gt;Not in File&lt;/Reprint&gt;&lt;Start_Page&gt;744&lt;/Start_Page&gt;&lt;End_Page&gt;750&lt;/End_Page&gt;&lt;Periodical&gt;J Nutr&lt;/Periodical&gt;&lt;Volume&gt;142&lt;/Volume&gt;&lt;Issue&gt;4&lt;/Issue&gt;&lt;ZZ_JournalFull&gt;&lt;f name="System"&gt;J Nutr&lt;/f&gt;&lt;/ZZ_JournalFull&gt;&lt;ZZ_WorkformID&gt;1&lt;/ZZ_WorkformID&gt;&lt;/MDL&gt;&lt;/Cite&gt;&lt;/Refman&gt;</w:instrText>
      </w:r>
      <w:r w:rsidR="00CB6193">
        <w:fldChar w:fldCharType="separate"/>
      </w:r>
      <w:r w:rsidR="003C07F6">
        <w:rPr>
          <w:noProof/>
        </w:rPr>
        <w:t>(1)</w:t>
      </w:r>
      <w:r w:rsidR="00CB6193">
        <w:fldChar w:fldCharType="end"/>
      </w:r>
      <w:r>
        <w:t xml:space="preserve">, recent studies have highlighted that most women struggle to reach the recommended iodine daily intake (150 </w:t>
      </w:r>
      <w:r w:rsidR="005502D8">
        <w:t>µ</w:t>
      </w:r>
      <w:r>
        <w:t xml:space="preserve">g/day), </w:t>
      </w:r>
      <w:r w:rsidR="0038072A">
        <w:t xml:space="preserve">a recommended intake that increases during </w:t>
      </w:r>
      <w:r>
        <w:t xml:space="preserve">pregnancy to 250 </w:t>
      </w:r>
      <w:r w:rsidR="00AB6E16">
        <w:t>µ</w:t>
      </w:r>
      <w:r>
        <w:t>g/day</w:t>
      </w:r>
      <w:r w:rsidR="00D871AA">
        <w:t xml:space="preserve"> </w:t>
      </w:r>
      <w:r w:rsidR="00CB6193">
        <w:fldChar w:fldCharType="begin"/>
      </w:r>
      <w:r w:rsidR="001544FE">
        <w:instrText xml:space="preserve"> ADDIN REFMGR.CITE &lt;Refman&gt;&lt;Cite&gt;&lt;Author&gt;Combet&lt;/Author&gt;&lt;Year&gt;2015&lt;/Year&gt;&lt;RecNum&gt;21589&lt;/RecNum&gt;&lt;IDText&gt;Iodine and pregnancy - a UK cross-sectional survey of dietary intake, knowledge and awareness&lt;/IDText&gt;&lt;MDL Ref_Type="Journal"&gt;&lt;Ref_Type&gt;Journal&lt;/Ref_Type&gt;&lt;Ref_ID&gt;21589&lt;/Ref_ID&gt;&lt;Title_Primary&gt;&lt;f name="Times New Roman"&gt;Iodine and pregnancy - a UK cross-sectional survey of dietary intake, knowledge and awareness&lt;/f&gt;&lt;/Title_Primary&gt;&lt;Authors_Primary&gt;Combet,E.&lt;/Authors_Primary&gt;&lt;Authors_Primary&gt;Bouga,M.&lt;/Authors_Primary&gt;&lt;Authors_Primary&gt;Pan,B.&lt;/Authors_Primary&gt;&lt;Authors_Primary&gt;Lean,M.E.&lt;/Authors_Primary&gt;&lt;Authors_Primary&gt;Christopher,C.O.&lt;/Authors_Primary&gt;&lt;Date_Primary&gt;2015/7/14&lt;/Date_Primary&gt;&lt;Keywords&gt;and&lt;/Keywords&gt;&lt;Keywords&gt;Pregnancy&lt;/Keywords&gt;&lt;Keywords&gt;of&lt;/Keywords&gt;&lt;Keywords&gt;dietary&lt;/Keywords&gt;&lt;Reprint&gt;Not in File&lt;/Reprint&gt;&lt;Start_Page&gt;108&lt;/Start_Page&gt;&lt;End_Page&gt;117&lt;/End_Page&gt;&lt;Periodical&gt;Br J Nutr&lt;/Periodical&gt;&lt;Volume&gt;114&lt;/Volume&gt;&lt;Issue&gt;1&lt;/Issue&gt;&lt;ZZ_JournalFull&gt;&lt;f name="System"&gt;Br J Nutr&lt;/f&gt;&lt;/ZZ_JournalFull&gt;&lt;ZZ_WorkformID&gt;1&lt;/ZZ_WorkformID&gt;&lt;/MDL&gt;&lt;/Cite&gt;&lt;/Refman&gt;</w:instrText>
      </w:r>
      <w:r w:rsidR="00CB6193">
        <w:fldChar w:fldCharType="separate"/>
      </w:r>
      <w:r w:rsidR="003C07F6">
        <w:rPr>
          <w:noProof/>
        </w:rPr>
        <w:t>(6)</w:t>
      </w:r>
      <w:r w:rsidR="00CB6193">
        <w:fldChar w:fldCharType="end"/>
      </w:r>
      <w:r>
        <w:t>.</w:t>
      </w:r>
    </w:p>
    <w:p w14:paraId="61BA0CEB" w14:textId="0417A2FE" w:rsidR="00661B01" w:rsidRDefault="00661B01" w:rsidP="008667BD">
      <w:pPr>
        <w:spacing w:line="360" w:lineRule="auto"/>
        <w:jc w:val="both"/>
      </w:pPr>
      <w:r>
        <w:t>I</w:t>
      </w:r>
      <w:r w:rsidR="003062BD">
        <w:t>odine deficiency</w:t>
      </w:r>
      <w:r w:rsidR="00EB0A5C">
        <w:t>,</w:t>
      </w:r>
      <w:r w:rsidR="003062BD">
        <w:t xml:space="preserve"> </w:t>
      </w:r>
      <w:r w:rsidR="00EB0A5C">
        <w:t xml:space="preserve">mainly in children and young adults, </w:t>
      </w:r>
      <w:r>
        <w:t xml:space="preserve">has been suggested  to cause certain brain proteins to be down-regulated in particular brain regions, anterior commissure axons and mRNA expression to be reduced, </w:t>
      </w:r>
      <w:r w:rsidR="0038072A">
        <w:t xml:space="preserve">and </w:t>
      </w:r>
      <w:r>
        <w:t xml:space="preserve">dendrite size to be altered resulting in potential premature </w:t>
      </w:r>
      <w:r w:rsidR="003062BD">
        <w:t>cell apoptosis. Additionally, iodine deficiency</w:t>
      </w:r>
      <w:r>
        <w:t xml:space="preserve"> may cause a reduction in cerebellar cell size and decreased myelination throughout the </w:t>
      </w:r>
      <w:r w:rsidR="00EB0A5C">
        <w:t>c</w:t>
      </w:r>
      <w:r>
        <w:t xml:space="preserve">entral </w:t>
      </w:r>
      <w:r w:rsidR="00EB0A5C">
        <w:t>n</w:t>
      </w:r>
      <w:r>
        <w:t xml:space="preserve">ervous </w:t>
      </w:r>
      <w:r w:rsidR="00EB0A5C">
        <w:t>s</w:t>
      </w:r>
      <w:r>
        <w:t>ystem</w:t>
      </w:r>
      <w:r w:rsidR="00226184">
        <w:t xml:space="preserve"> </w:t>
      </w:r>
      <w:r w:rsidR="00CB6193">
        <w:fldChar w:fldCharType="begin"/>
      </w:r>
      <w:r w:rsidR="001544FE">
        <w:instrText xml:space="preserve"> ADDIN REFMGR.CITE &lt;Refman&gt;&lt;Cite&gt;&lt;Author&gt;Valdes Hernandez&lt;/Author&gt;&lt;Year&gt;2013&lt;/Year&gt;&lt;RecNum&gt;20839&lt;/RecNum&gt;&lt;IDText&gt;Brain findings associated with iodine deficiency identified by magnetic resonance methods: a systematic review&lt;/IDText&gt;&lt;MDL Ref_Type="Journal"&gt;&lt;Ref_Type&gt;Journal&lt;/Ref_Type&gt;&lt;Ref_ID&gt;20839&lt;/Ref_ID&gt;&lt;Title_Primary&gt;Brain findings associated with iodine deficiency identified by magnetic resonance methods: a systematic review&lt;/Title_Primary&gt;&lt;Authors_Primary&gt;Valdes Hernandez,M.C.&lt;/Authors_Primary&gt;&lt;Authors_Primary&gt;Wilson,K.L.&lt;/Authors_Primary&gt;&lt;Authors_Primary&gt;Aspray,E.C.&lt;/Authors_Primary&gt;&lt;Authors_Primary&gt;Wardlaw,J.M.&lt;/Authors_Primary&gt;&lt;Date_Primary&gt;2013&lt;/Date_Primary&gt;&lt;Keywords&gt;Brain&lt;/Keywords&gt;&lt;Keywords&gt;deficiency&lt;/Keywords&gt;&lt;Keywords&gt;Magnetic Resonance&lt;/Keywords&gt;&lt;Keywords&gt;RESONANCE&lt;/Keywords&gt;&lt;Keywords&gt;methods&lt;/Keywords&gt;&lt;Keywords&gt;systematic review&lt;/Keywords&gt;&lt;Keywords&gt;review&lt;/Keywords&gt;&lt;Reprint&gt;Not in File&lt;/Reprint&gt;&lt;Start_Page&gt;180&lt;/Start_Page&gt;&lt;End_Page&gt;195&lt;/End_Page&gt;&lt;Periodical&gt;Open Journal of Radiology&lt;/Periodical&gt;&lt;Volume&gt;3&lt;/Volume&gt;&lt;ZZ_JournalFull&gt;&lt;f name="System"&gt;Open Journal of Radiology&lt;/f&gt;&lt;/ZZ_JournalFull&gt;&lt;ZZ_WorkformID&gt;1&lt;/ZZ_WorkformID&gt;&lt;/MDL&gt;&lt;/Cite&gt;&lt;/Refman&gt;</w:instrText>
      </w:r>
      <w:r w:rsidR="00CB6193">
        <w:fldChar w:fldCharType="separate"/>
      </w:r>
      <w:r w:rsidR="003C07F6">
        <w:rPr>
          <w:noProof/>
        </w:rPr>
        <w:t>(7)</w:t>
      </w:r>
      <w:r w:rsidR="00CB6193">
        <w:fldChar w:fldCharType="end"/>
      </w:r>
      <w:r w:rsidR="002B3C6C">
        <w:t xml:space="preserve">, </w:t>
      </w:r>
      <w:r w:rsidR="00EB0A5C">
        <w:t>and</w:t>
      </w:r>
      <w:r w:rsidR="002B3C6C">
        <w:t xml:space="preserve">, therefore, </w:t>
      </w:r>
      <w:r w:rsidR="0038072A">
        <w:t xml:space="preserve">may be </w:t>
      </w:r>
      <w:r w:rsidR="002B3C6C">
        <w:t>related to brain atrophy and brain white matter damage</w:t>
      </w:r>
      <w:r>
        <w:t xml:space="preserve">. Altogether, </w:t>
      </w:r>
      <w:r w:rsidR="0038072A">
        <w:t>such changes</w:t>
      </w:r>
      <w:r>
        <w:t xml:space="preserve"> are likely to affect cogniti</w:t>
      </w:r>
      <w:r w:rsidR="00FA035F">
        <w:t>ve functions</w:t>
      </w:r>
      <w:r>
        <w:t>. Preservation of mental / cognitive capacities is key in</w:t>
      </w:r>
      <w:r w:rsidR="00810215">
        <w:t xml:space="preserve"> having</w:t>
      </w:r>
      <w:r>
        <w:t xml:space="preserve"> a healthy long life, as well as enabling society to achieve its full productivity potential. However, it is not known how different exposure</w:t>
      </w:r>
      <w:r w:rsidR="00EB0A5C">
        <w:t>s</w:t>
      </w:r>
      <w:r>
        <w:t xml:space="preserve"> to diet</w:t>
      </w:r>
      <w:r w:rsidR="00D03CD8">
        <w:t xml:space="preserve">ary iodine </w:t>
      </w:r>
      <w:r w:rsidR="00810215">
        <w:t xml:space="preserve">throughout life </w:t>
      </w:r>
      <w:r w:rsidR="00D03CD8">
        <w:t xml:space="preserve">influences brain health and cognition </w:t>
      </w:r>
      <w:r>
        <w:t xml:space="preserve">in the elderly. </w:t>
      </w:r>
    </w:p>
    <w:p w14:paraId="398E7A40" w14:textId="21F00BF8" w:rsidR="00A01E4A" w:rsidRDefault="00661B01" w:rsidP="008667BD">
      <w:pPr>
        <w:spacing w:line="360" w:lineRule="auto"/>
        <w:jc w:val="both"/>
      </w:pPr>
      <w:r>
        <w:t xml:space="preserve">Here, we investigate the link </w:t>
      </w:r>
      <w:r w:rsidRPr="007E70A3">
        <w:t>between</w:t>
      </w:r>
      <w:r w:rsidR="00A37D18" w:rsidRPr="007E70A3">
        <w:t xml:space="preserve"> estimated </w:t>
      </w:r>
      <w:r w:rsidRPr="007E70A3">
        <w:t xml:space="preserve">dietary iodine </w:t>
      </w:r>
      <w:r w:rsidR="005502D8">
        <w:t>intake</w:t>
      </w:r>
      <w:r w:rsidRPr="007E70A3">
        <w:t>, brain</w:t>
      </w:r>
      <w:r w:rsidR="00975A69">
        <w:t xml:space="preserve"> structural</w:t>
      </w:r>
      <w:r>
        <w:t xml:space="preserve"> measure</w:t>
      </w:r>
      <w:r w:rsidR="00975A69">
        <w:t>ments</w:t>
      </w:r>
      <w:r>
        <w:t xml:space="preserve"> from </w:t>
      </w:r>
      <w:r w:rsidR="00975A69">
        <w:t xml:space="preserve">magnetic resonance </w:t>
      </w:r>
      <w:r>
        <w:t>imaging</w:t>
      </w:r>
      <w:r w:rsidR="00975A69">
        <w:t xml:space="preserve"> (MRI)</w:t>
      </w:r>
      <w:r>
        <w:t xml:space="preserve"> and cogniti</w:t>
      </w:r>
      <w:r w:rsidR="00B7641B">
        <w:t>ve abilities</w:t>
      </w:r>
      <w:r w:rsidR="00975A69">
        <w:t xml:space="preserve"> in </w:t>
      </w:r>
      <w:r w:rsidR="00073A70">
        <w:t>t</w:t>
      </w:r>
      <w:r w:rsidR="00975A69">
        <w:t>he Lothian Birth Cohort 1936</w:t>
      </w:r>
      <w:r w:rsidR="00A42221">
        <w:t xml:space="preserve"> (LBC1936)</w:t>
      </w:r>
      <w:r w:rsidR="00226184">
        <w:t xml:space="preserve"> </w:t>
      </w:r>
      <w:r w:rsidR="00CB6193">
        <w:fldChar w:fldCharType="begin">
          <w:fldData xml:space="preserve">PFJlZm1hbj48Q2l0ZT48QXV0aG9yPkRlYXJ5PC9BdXRob3I+PFllYXI+MjAwNzwvWWVhcj48UmVj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</w:fldData>
        </w:fldChar>
      </w:r>
      <w:r w:rsidR="001544FE">
        <w:instrText xml:space="preserve"> ADDIN REFMGR.CITE </w:instrText>
      </w:r>
      <w:r w:rsidR="001544FE">
        <w:fldChar w:fldCharType="begin">
          <w:fldData xml:space="preserve">PFJlZm1hbj48Q2l0ZT48QXV0aG9yPkRlYXJ5PC9BdXRob3I+PFllYXI+MjAwNzwvWWVhcj48UmVj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</w:fldData>
        </w:fldChar>
      </w:r>
      <w:r w:rsidR="001544FE">
        <w:instrText xml:space="preserve"> ADDIN EN.CITE.DATA </w:instrText>
      </w:r>
      <w:r w:rsidR="001544FE">
        <w:fldChar w:fldCharType="end"/>
      </w:r>
      <w:r w:rsidR="00CB6193">
        <w:fldChar w:fldCharType="separate"/>
      </w:r>
      <w:r w:rsidR="003C07F6">
        <w:rPr>
          <w:noProof/>
        </w:rPr>
        <w:t>(8)</w:t>
      </w:r>
      <w:r w:rsidR="00CB6193">
        <w:fldChar w:fldCharType="end"/>
      </w:r>
      <w:r w:rsidR="00C87F58">
        <w:t xml:space="preserve"> with the hypothesis that individuals most likely to have a sustained </w:t>
      </w:r>
      <w:r w:rsidR="00226184">
        <w:t>sufficient</w:t>
      </w:r>
      <w:r w:rsidR="00C87F58">
        <w:t xml:space="preserve"> intake of iodine-rich foods in their diets have </w:t>
      </w:r>
      <w:r w:rsidR="00226184">
        <w:t>better</w:t>
      </w:r>
      <w:r w:rsidR="00C87F58">
        <w:t xml:space="preserve"> preserved brain health in late adulthood and, consequently, better cognitive performance</w:t>
      </w:r>
      <w:r>
        <w:t xml:space="preserve">. </w:t>
      </w:r>
      <w:r w:rsidR="004D1E81">
        <w:t xml:space="preserve"> </w:t>
      </w:r>
      <w:r w:rsidR="003313F5" w:rsidRPr="003128AF">
        <w:t>This study aims to estimate whether very low or high iodine intake throughout life is associated with cognitive abilities and brain health in later life.</w:t>
      </w:r>
      <w:r w:rsidR="003313F5">
        <w:t xml:space="preserve"> </w:t>
      </w:r>
      <w:r w:rsidR="00226184">
        <w:t xml:space="preserve">Acknowledging the difficulties in assessing lifelong exposure to nutrients, </w:t>
      </w:r>
      <w:r w:rsidR="00226184">
        <w:rPr>
          <w:rFonts w:ascii="Calibri" w:hAnsi="Calibri"/>
          <w:shd w:val="clear" w:color="auto" w:fill="FFFFFF"/>
        </w:rPr>
        <w:t>t</w:t>
      </w:r>
      <w:r w:rsidR="005502D8" w:rsidRPr="008728F5">
        <w:rPr>
          <w:rFonts w:ascii="Calibri" w:hAnsi="Calibri"/>
          <w:shd w:val="clear" w:color="auto" w:fill="FFFFFF"/>
        </w:rPr>
        <w:t xml:space="preserve">he analysis is carried out </w:t>
      </w:r>
      <w:r w:rsidR="005502D8" w:rsidRPr="008728F5">
        <w:rPr>
          <w:rFonts w:ascii="Calibri" w:hAnsi="Calibri"/>
        </w:rPr>
        <w:t>by</w:t>
      </w:r>
      <w:r w:rsidR="005502D8" w:rsidRPr="008728F5">
        <w:t xml:space="preserve"> </w:t>
      </w:r>
      <w:r w:rsidR="005502D8">
        <w:t>relating</w:t>
      </w:r>
      <w:r w:rsidR="005502D8" w:rsidRPr="00673DBE">
        <w:t xml:space="preserve"> dietary </w:t>
      </w:r>
      <w:r w:rsidR="005502D8" w:rsidRPr="008728F5">
        <w:lastRenderedPageBreak/>
        <w:t xml:space="preserve">measures </w:t>
      </w:r>
      <w:r w:rsidR="005502D8" w:rsidRPr="008728F5">
        <w:rPr>
          <w:shd w:val="clear" w:color="auto" w:fill="FFFFFF"/>
        </w:rPr>
        <w:t xml:space="preserve">based on iodine-rich food intake </w:t>
      </w:r>
      <w:r w:rsidR="005502D8" w:rsidRPr="008728F5">
        <w:t>from individuals with specific dietary patterns</w:t>
      </w:r>
      <w:r w:rsidR="00226184">
        <w:t xml:space="preserve"> more likely to be sustained through longer periods of time</w:t>
      </w:r>
      <w:r w:rsidR="005502D8" w:rsidRPr="008728F5">
        <w:t>: fish/dairy avoide</w:t>
      </w:r>
      <w:r w:rsidR="005502D8" w:rsidRPr="00673DBE">
        <w:t>rs</w:t>
      </w:r>
      <w:r w:rsidR="00226184">
        <w:t xml:space="preserve"> and</w:t>
      </w:r>
      <w:r w:rsidR="005502D8" w:rsidRPr="00673DBE">
        <w:t xml:space="preserve"> low consumers, </w:t>
      </w:r>
      <w:r w:rsidR="00226184">
        <w:t xml:space="preserve">versus groups with </w:t>
      </w:r>
      <w:r w:rsidR="005502D8" w:rsidRPr="00673DBE">
        <w:t>medium</w:t>
      </w:r>
      <w:r w:rsidR="00226184">
        <w:t xml:space="preserve"> (sufficient)</w:t>
      </w:r>
      <w:r w:rsidR="005502D8" w:rsidRPr="00673DBE">
        <w:t xml:space="preserve"> intake and high consumers</w:t>
      </w:r>
      <w:r w:rsidR="005502D8">
        <w:rPr>
          <w:rFonts w:ascii="Calibri" w:hAnsi="Calibri"/>
          <w:color w:val="1F497D"/>
          <w:shd w:val="clear" w:color="auto" w:fill="FFFFFF"/>
        </w:rPr>
        <w:t xml:space="preserve">) </w:t>
      </w:r>
      <w:r w:rsidR="005502D8" w:rsidRPr="00673DBE">
        <w:t>to measures of cognitive function, brain atrophy and brain white matter damage in later life</w:t>
      </w:r>
      <w:r w:rsidR="005502D8">
        <w:t>.</w:t>
      </w:r>
      <w:r w:rsidRPr="00673DBE">
        <w:t xml:space="preserve"> </w:t>
      </w:r>
      <w:r w:rsidR="00DF254D" w:rsidRPr="00BF690F">
        <w:rPr>
          <w:color w:val="000000" w:themeColor="text1"/>
        </w:rPr>
        <w:t>We also explored whether childhood intelligence</w:t>
      </w:r>
      <w:r w:rsidR="003313F5">
        <w:rPr>
          <w:color w:val="000000" w:themeColor="text1"/>
        </w:rPr>
        <w:t xml:space="preserve"> (IQ)</w:t>
      </w:r>
      <w:r w:rsidR="00DF254D" w:rsidRPr="00BF690F">
        <w:rPr>
          <w:color w:val="000000" w:themeColor="text1"/>
        </w:rPr>
        <w:t xml:space="preserve"> </w:t>
      </w:r>
      <w:r w:rsidR="001C6050" w:rsidRPr="00BF690F">
        <w:rPr>
          <w:color w:val="000000" w:themeColor="text1"/>
        </w:rPr>
        <w:t xml:space="preserve">is associated </w:t>
      </w:r>
      <w:r w:rsidR="001C6050" w:rsidRPr="007E70A3">
        <w:t>with</w:t>
      </w:r>
      <w:r w:rsidR="00DF254D" w:rsidRPr="007E70A3">
        <w:t xml:space="preserve"> iodine consumption </w:t>
      </w:r>
      <w:r w:rsidR="007062CF" w:rsidRPr="007E70A3">
        <w:t xml:space="preserve">levels </w:t>
      </w:r>
      <w:r w:rsidR="00DF254D" w:rsidRPr="007E70A3">
        <w:t>in late adulthood</w:t>
      </w:r>
      <w:r w:rsidR="001C6050" w:rsidRPr="007E70A3">
        <w:t>, t</w:t>
      </w:r>
      <w:r w:rsidR="009D2BEF" w:rsidRPr="007E70A3">
        <w:t>hus</w:t>
      </w:r>
      <w:r w:rsidR="009D2BEF">
        <w:t>,</w:t>
      </w:r>
      <w:r>
        <w:t xml:space="preserve"> </w:t>
      </w:r>
      <w:r w:rsidR="00DF254D">
        <w:t xml:space="preserve">enabling to </w:t>
      </w:r>
      <w:r w:rsidR="0038072A">
        <w:t xml:space="preserve">inform the </w:t>
      </w:r>
      <w:r w:rsidR="006D19A1">
        <w:t>develop</w:t>
      </w:r>
      <w:r w:rsidR="0038072A">
        <w:t>ment of</w:t>
      </w:r>
      <w:r w:rsidR="006D19A1">
        <w:t xml:space="preserve"> </w:t>
      </w:r>
      <w:r>
        <w:t>evidence</w:t>
      </w:r>
      <w:r w:rsidR="00A01E4A">
        <w:t>-</w:t>
      </w:r>
      <w:r>
        <w:t xml:space="preserve">based recommendations for the design and targeting of </w:t>
      </w:r>
      <w:r w:rsidR="00810215">
        <w:t>dietary</w:t>
      </w:r>
      <w:r>
        <w:t xml:space="preserve"> interventions</w:t>
      </w:r>
      <w:r w:rsidRPr="007E70A3">
        <w:t xml:space="preserve">. </w:t>
      </w:r>
      <w:r w:rsidR="0038072A" w:rsidRPr="007E70A3">
        <w:t>Finally</w:t>
      </w:r>
      <w:r w:rsidR="00673DBE" w:rsidRPr="007E70A3">
        <w:t xml:space="preserve">, </w:t>
      </w:r>
      <w:r w:rsidR="003313F5">
        <w:t>since</w:t>
      </w:r>
      <w:r w:rsidR="00673DBE" w:rsidRPr="007E70A3">
        <w:t xml:space="preserve"> iodine </w:t>
      </w:r>
      <w:r w:rsidR="003313F5">
        <w:t>is a critical component</w:t>
      </w:r>
      <w:r w:rsidR="00673DBE" w:rsidRPr="007E70A3">
        <w:t xml:space="preserve"> of the thyroid hormones, we analyse the stability of the thyroid functioning across the three years elapsed from the collection of the dietary data and the cognitive and brain imaging data, through the analysis of relevant laboratory data</w:t>
      </w:r>
      <w:r w:rsidR="006816DC" w:rsidRPr="007E70A3">
        <w:t xml:space="preserve"> obtained at both time points</w:t>
      </w:r>
      <w:r w:rsidR="00673DBE" w:rsidRPr="007E70A3">
        <w:t>.</w:t>
      </w:r>
    </w:p>
    <w:p w14:paraId="29F4ABCA" w14:textId="77777777" w:rsidR="00A01E4A" w:rsidRDefault="00A01E4A" w:rsidP="0052701F">
      <w:pPr>
        <w:jc w:val="both"/>
      </w:pPr>
    </w:p>
    <w:p w14:paraId="2A6F2340" w14:textId="78E717AC" w:rsidR="000544E8" w:rsidRPr="00117E7B" w:rsidRDefault="00661B01" w:rsidP="00117E7B">
      <w:pPr>
        <w:pStyle w:val="ListParagraph"/>
        <w:numPr>
          <w:ilvl w:val="0"/>
          <w:numId w:val="2"/>
        </w:numPr>
        <w:jc w:val="both"/>
        <w:rPr>
          <w:b/>
          <w:sz w:val="28"/>
          <w:szCs w:val="28"/>
        </w:rPr>
      </w:pPr>
      <w:r w:rsidRPr="00117E7B">
        <w:rPr>
          <w:b/>
          <w:sz w:val="28"/>
          <w:szCs w:val="28"/>
        </w:rPr>
        <w:t>Materials and Methods</w:t>
      </w:r>
    </w:p>
    <w:p w14:paraId="04A810F1" w14:textId="25E302A7" w:rsidR="00661B01" w:rsidRPr="00661B01" w:rsidRDefault="00117E7B" w:rsidP="00661B01">
      <w:pPr>
        <w:rPr>
          <w:b/>
        </w:rPr>
      </w:pPr>
      <w:r>
        <w:rPr>
          <w:b/>
        </w:rPr>
        <w:t xml:space="preserve">2.1 </w:t>
      </w:r>
      <w:r w:rsidR="00661B01" w:rsidRPr="00661B01">
        <w:rPr>
          <w:b/>
        </w:rPr>
        <w:t>Participants</w:t>
      </w:r>
    </w:p>
    <w:p w14:paraId="3E9E93FD" w14:textId="77C05F37" w:rsidR="00504B2C" w:rsidRDefault="00A42221" w:rsidP="008667BD">
      <w:pPr>
        <w:autoSpaceDE w:val="0"/>
        <w:autoSpaceDN w:val="0"/>
        <w:spacing w:line="360" w:lineRule="auto"/>
        <w:jc w:val="both"/>
        <w:rPr>
          <w:rFonts w:cs="Arial"/>
        </w:rPr>
      </w:pPr>
      <w:r>
        <w:rPr>
          <w:rFonts w:cs="Arial"/>
        </w:rPr>
        <w:t>From the LBC1936</w:t>
      </w:r>
      <w:r w:rsidR="00504B2C" w:rsidRPr="00504B2C">
        <w:rPr>
          <w:rFonts w:cs="Arial"/>
        </w:rPr>
        <w:t>, which comprises community-dwelling surviving members of the Scottish Mental Survey of 1947</w:t>
      </w:r>
      <w:r w:rsidR="00CB6193">
        <w:rPr>
          <w:rFonts w:cs="Arial"/>
        </w:rPr>
        <w:fldChar w:fldCharType="begin">
          <w:fldData xml:space="preserve">PFJlZm1hbj48Q2l0ZT48QXV0aG9yPkRlYXJ5PC9BdXRob3I+PFllYXI+MjAwNzwvWWVhcj48UmVj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</w:fldData>
        </w:fldChar>
      </w:r>
      <w:r w:rsidR="001544FE">
        <w:rPr>
          <w:rFonts w:cs="Arial"/>
        </w:rPr>
        <w:instrText xml:space="preserve"> ADDIN REFMGR.CITE </w:instrText>
      </w:r>
      <w:r w:rsidR="001544FE">
        <w:rPr>
          <w:rFonts w:cs="Arial"/>
        </w:rPr>
        <w:fldChar w:fldCharType="begin">
          <w:fldData xml:space="preserve">PFJlZm1hbj48Q2l0ZT48QXV0aG9yPkRlYXJ5PC9BdXRob3I+PFllYXI+MjAwNzwvWWVhcj48UmVj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</w:fldData>
        </w:fldChar>
      </w:r>
      <w:r w:rsidR="001544FE">
        <w:rPr>
          <w:rFonts w:cs="Arial"/>
        </w:rPr>
        <w:instrText xml:space="preserve"> ADDIN EN.CITE.DATA </w:instrText>
      </w:r>
      <w:r w:rsidR="001544FE">
        <w:rPr>
          <w:rFonts w:cs="Arial"/>
        </w:rPr>
      </w:r>
      <w:r w:rsidR="001544FE">
        <w:rPr>
          <w:rFonts w:cs="Arial"/>
        </w:rPr>
        <w:fldChar w:fldCharType="end"/>
      </w:r>
      <w:r w:rsidR="00CB6193">
        <w:rPr>
          <w:rFonts w:cs="Arial"/>
        </w:rPr>
      </w:r>
      <w:r w:rsidR="00CB6193">
        <w:rPr>
          <w:rFonts w:cs="Arial"/>
        </w:rPr>
        <w:fldChar w:fldCharType="separate"/>
      </w:r>
      <w:r w:rsidR="003C07F6">
        <w:rPr>
          <w:rFonts w:cs="Arial"/>
          <w:noProof/>
        </w:rPr>
        <w:t>(8)</w:t>
      </w:r>
      <w:r w:rsidR="00CB6193">
        <w:rPr>
          <w:rFonts w:cs="Arial"/>
        </w:rPr>
        <w:fldChar w:fldCharType="end"/>
      </w:r>
      <w:r w:rsidR="00504B2C" w:rsidRPr="00504B2C">
        <w:rPr>
          <w:rFonts w:cs="Arial"/>
        </w:rPr>
        <w:t xml:space="preserve">, 1091 individuals </w:t>
      </w:r>
      <w:r w:rsidR="00CB5418">
        <w:rPr>
          <w:rFonts w:cs="Arial"/>
        </w:rPr>
        <w:t xml:space="preserve">(548 men and 543 women) </w:t>
      </w:r>
      <w:r w:rsidR="00504B2C" w:rsidRPr="00504B2C">
        <w:rPr>
          <w:rFonts w:cs="Arial"/>
        </w:rPr>
        <w:t>with an average age of 69.5 (SD=0.8) years completed cognitive tests, and provided personality, demogra</w:t>
      </w:r>
      <w:r w:rsidR="007E70A3">
        <w:rPr>
          <w:rFonts w:cs="Arial"/>
        </w:rPr>
        <w:t>phic, health, lifestyle, habitual diet</w:t>
      </w:r>
      <w:r w:rsidR="00504B2C" w:rsidRPr="00504B2C">
        <w:rPr>
          <w:rFonts w:cs="Arial"/>
        </w:rPr>
        <w:t xml:space="preserve"> information </w:t>
      </w:r>
      <w:r w:rsidR="007E70A3" w:rsidRPr="007E70A3">
        <w:rPr>
          <w:rFonts w:cs="Arial"/>
        </w:rPr>
        <w:t xml:space="preserve">(participants completed a 165 item Food Frequency Questionnaire) </w:t>
      </w:r>
      <w:r w:rsidR="00504B2C" w:rsidRPr="00504B2C">
        <w:rPr>
          <w:rFonts w:cs="Arial"/>
        </w:rPr>
        <w:t xml:space="preserve">and blood samples </w:t>
      </w:r>
      <w:r w:rsidR="00801380">
        <w:rPr>
          <w:rFonts w:cs="Arial"/>
        </w:rPr>
        <w:t xml:space="preserve">on a first wave of data collection, </w:t>
      </w:r>
      <w:r w:rsidR="00504B2C" w:rsidRPr="00504B2C">
        <w:rPr>
          <w:rFonts w:cs="Arial"/>
        </w:rPr>
        <w:t xml:space="preserve">between 2004 and 2007. </w:t>
      </w:r>
      <w:r w:rsidR="00801380">
        <w:rPr>
          <w:rFonts w:cs="Arial"/>
        </w:rPr>
        <w:t>On a second wave of data collection</w:t>
      </w:r>
      <w:r w:rsidR="00504B2C" w:rsidRPr="00504B2C">
        <w:rPr>
          <w:rFonts w:cs="Arial"/>
        </w:rPr>
        <w:t>, 866 participa</w:t>
      </w:r>
      <w:r w:rsidR="00C24D2A">
        <w:rPr>
          <w:rFonts w:cs="Arial"/>
        </w:rPr>
        <w:t>nts (mean age 72.7 years, SD 0.8</w:t>
      </w:r>
      <w:r w:rsidR="00504B2C" w:rsidRPr="00504B2C">
        <w:rPr>
          <w:rFonts w:cs="Arial"/>
        </w:rPr>
        <w:t xml:space="preserve"> years) repeated almost all assessments from wave 1 with the exception of the dietary questionnaire, and a subgroup (n=700) had an MRI brain scan</w:t>
      </w:r>
      <w:r w:rsidR="00504B2C" w:rsidRPr="007E70A3">
        <w:rPr>
          <w:rFonts w:cs="Arial"/>
        </w:rPr>
        <w:t xml:space="preserve">. </w:t>
      </w:r>
      <w:r w:rsidR="00547674" w:rsidRPr="00E83EE5">
        <w:rPr>
          <w:rFonts w:cs="Arial"/>
        </w:rPr>
        <w:t>The main causes for withdrawal at wave 2, as reported elsewhere</w:t>
      </w:r>
      <w:r w:rsidR="00547674" w:rsidRPr="00E83EE5">
        <w:rPr>
          <w:rFonts w:cs="Arial"/>
        </w:rPr>
        <w:fldChar w:fldCharType="begin"/>
      </w:r>
      <w:r w:rsidR="001544FE" w:rsidRPr="00E83EE5">
        <w:rPr>
          <w:rFonts w:cs="Arial"/>
        </w:rPr>
        <w:instrText xml:space="preserve"> ADDIN REFMGR.CITE &lt;Refman&gt;&lt;Cite&gt;&lt;Author&gt;Valdes-Hernandez&lt;/Author&gt;&lt;Year&gt;2014&lt;/Year&gt;&lt;RecNum&gt;20892&lt;/RecNum&gt;&lt;IDText&gt;Exploratory analysis of dietary intake and brain iron accumulation detected using magnetic resonance imaging in older individuals: the Lothian Birth Cohort 1936&lt;/IDText&gt;&lt;MDL Ref_Type="Journal"&gt;&lt;Ref_Type&gt;Journal&lt;/Ref_Type&gt;&lt;Ref_ID&gt;20892&lt;/Ref_ID&gt;&lt;Title_Primary&gt;&lt;f name="ArialUnicodeMS"&gt;Exploratory analysis of dietary intake and brain iron accumulation detected using magnetic resonance imaging in older individuals: the Lothian Birth Cohort 1936&lt;/f&gt;&lt;/Title_Primary&gt;&lt;Authors_Primary&gt;Valdes-Hernandez,M.C.&lt;/Authors_Primary&gt;&lt;Authors_Primary&gt;Allan,J.&lt;/Authors_Primary&gt;&lt;Authors_Primary&gt;Glatz,A.&lt;/Authors_Primary&gt;&lt;Authors_Primary&gt;Kyle,J.&lt;/Authors_Primary&gt;&lt;Authors_Primary&gt;Corley,J.&lt;/Authors_Primary&gt;&lt;Authors_Primary&gt;Brett,C.E.&lt;/Authors_Primary&gt;&lt;Authors_Primary&gt;Munoz Maniega,S.&lt;/Authors_Primary&gt;&lt;Authors_Primary&gt;Royle,N.A.&lt;/Authors_Primary&gt;&lt;Authors_Primary&gt;Bastin,M.E.&lt;/Authors_Primary&gt;&lt;Authors_Primary&gt;Starr,J.M.&lt;/Authors_Primary&gt;&lt;Authors_Primary&gt;Deary,I.J.&lt;/Authors_Primary&gt;&lt;Authors_Primary&gt;Wardlaw,J.M.&lt;/Authors_Primary&gt;&lt;Date_Primary&gt;2014&lt;/Date_Primary&gt;&lt;Keywords&gt;analysis&lt;/Keywords&gt;&lt;Keywords&gt;of&lt;/Keywords&gt;&lt;Keywords&gt;dietary&lt;/Keywords&gt;&lt;Keywords&gt;and&lt;/Keywords&gt;&lt;Keywords&gt;Brain&lt;/Keywords&gt;&lt;Keywords&gt;Iron&lt;/Keywords&gt;&lt;Keywords&gt;Magnetic Resonance&lt;/Keywords&gt;&lt;Keywords&gt;Magnetic Resonance Imaging&lt;/Keywords&gt;&lt;Keywords&gt;RESONANCE&lt;/Keywords&gt;&lt;Keywords&gt;imaging&lt;/Keywords&gt;&lt;Keywords&gt;INDIVIDUALS&lt;/Keywords&gt;&lt;Start_Page&gt;64&lt;/Start_Page&gt;&lt;End_Page&gt;69&lt;/End_Page&gt;&lt;Periodical&gt;J Nutr Health Aging&lt;/Periodical&gt;&lt;Volume&gt;19&lt;/Volume&gt;&lt;Misc_3&gt;10.1007/s12603-014-0523-3&lt;/Misc_3&gt;&lt;ZZ_JournalFull&gt;&lt;f name="System"&gt;J Nutr Health Aging&lt;/f&gt;&lt;/ZZ_JournalFull&gt;&lt;ZZ_WorkformID&gt;1&lt;/ZZ_WorkformID&gt;&lt;/MDL&gt;&lt;/Cite&gt;&lt;/Refman&gt;</w:instrText>
      </w:r>
      <w:r w:rsidR="00547674" w:rsidRPr="00E83EE5">
        <w:rPr>
          <w:rFonts w:cs="Arial"/>
        </w:rPr>
        <w:fldChar w:fldCharType="separate"/>
      </w:r>
      <w:r w:rsidR="00547674" w:rsidRPr="00E83EE5">
        <w:rPr>
          <w:rFonts w:cs="Arial"/>
          <w:noProof/>
        </w:rPr>
        <w:t>(9)</w:t>
      </w:r>
      <w:r w:rsidR="00547674" w:rsidRPr="00E83EE5">
        <w:rPr>
          <w:rFonts w:cs="Arial"/>
        </w:rPr>
        <w:fldChar w:fldCharType="end"/>
      </w:r>
      <w:r w:rsidR="00547674" w:rsidRPr="00E83EE5">
        <w:rPr>
          <w:rFonts w:cs="Arial"/>
        </w:rPr>
        <w:t>, were: death (n=19), lost contact (n=20</w:t>
      </w:r>
      <w:r w:rsidR="00961E92" w:rsidRPr="00E83EE5">
        <w:rPr>
          <w:rFonts w:cs="Arial"/>
        </w:rPr>
        <w:t>)</w:t>
      </w:r>
      <w:r w:rsidR="00547674" w:rsidRPr="00E83EE5">
        <w:rPr>
          <w:rFonts w:cs="Arial"/>
        </w:rPr>
        <w:t xml:space="preserve">, health reasons (n=64), dementia (n=7), care roles (n=13) and lack of time (n=17). </w:t>
      </w:r>
      <w:r w:rsidR="006D19A1" w:rsidRPr="00E83EE5">
        <w:rPr>
          <w:rFonts w:cs="Arial"/>
        </w:rPr>
        <w:t>This</w:t>
      </w:r>
      <w:r w:rsidR="006D19A1" w:rsidRPr="007E70A3">
        <w:rPr>
          <w:rFonts w:cs="Arial"/>
        </w:rPr>
        <w:t xml:space="preserve"> study uses dietary information</w:t>
      </w:r>
      <w:r w:rsidR="00801380" w:rsidRPr="007E70A3">
        <w:rPr>
          <w:rFonts w:cs="Arial"/>
        </w:rPr>
        <w:t xml:space="preserve"> (wave 1), laboratory data obtained from the analyses of the blood samples (waves 1 and 2), and cognitive and imaging data (wave 2).</w:t>
      </w:r>
      <w:r w:rsidR="00801380">
        <w:rPr>
          <w:rFonts w:cs="Arial"/>
        </w:rPr>
        <w:t xml:space="preserve"> </w:t>
      </w:r>
      <w:r w:rsidR="007E70A3" w:rsidRPr="007E70A3">
        <w:rPr>
          <w:rFonts w:cs="Arial"/>
        </w:rPr>
        <w:t xml:space="preserve">The research was carried out in compliance with the Helsinki Declaration. </w:t>
      </w:r>
      <w:r w:rsidR="00504B2C" w:rsidRPr="00504B2C">
        <w:rPr>
          <w:rFonts w:cs="Arial"/>
        </w:rPr>
        <w:t>Written informed consent was obtained from all participants under protocols approved by the Lothian (REC 07/MRE00/58) and Scottish Multicentre (MREC/01/0/56) Research Ethics Committees.</w:t>
      </w:r>
    </w:p>
    <w:p w14:paraId="64A031B7" w14:textId="58ED1D06" w:rsidR="00661B01" w:rsidRPr="00661B01" w:rsidRDefault="00117E7B" w:rsidP="00661B01">
      <w:pPr>
        <w:rPr>
          <w:b/>
        </w:rPr>
      </w:pPr>
      <w:r>
        <w:rPr>
          <w:b/>
        </w:rPr>
        <w:t xml:space="preserve">2.2 </w:t>
      </w:r>
      <w:r w:rsidR="00810215">
        <w:rPr>
          <w:b/>
        </w:rPr>
        <w:t>MRI acquisition and processing</w:t>
      </w:r>
    </w:p>
    <w:p w14:paraId="70A02D64" w14:textId="02A9FC53" w:rsidR="0010129F" w:rsidRDefault="00504B2C" w:rsidP="00504B2C">
      <w:pPr>
        <w:spacing w:before="120" w:after="120" w:line="360" w:lineRule="auto"/>
        <w:jc w:val="both"/>
        <w:rPr>
          <w:rFonts w:cs="Arial"/>
        </w:rPr>
      </w:pPr>
      <w:r w:rsidRPr="00504B2C">
        <w:rPr>
          <w:rFonts w:cs="Arial"/>
        </w:rPr>
        <w:t xml:space="preserve">MRI scans were acquired using a 1.5T GE </w:t>
      </w:r>
      <w:proofErr w:type="spellStart"/>
      <w:r w:rsidRPr="00504B2C">
        <w:rPr>
          <w:rFonts w:cs="Arial"/>
        </w:rPr>
        <w:t>Signa</w:t>
      </w:r>
      <w:proofErr w:type="spellEnd"/>
      <w:r w:rsidRPr="00504B2C">
        <w:rPr>
          <w:rFonts w:cs="Arial"/>
        </w:rPr>
        <w:t xml:space="preserve"> Horizon </w:t>
      </w:r>
      <w:proofErr w:type="spellStart"/>
      <w:r w:rsidRPr="00504B2C">
        <w:rPr>
          <w:rFonts w:cs="Arial"/>
        </w:rPr>
        <w:t>HDxt</w:t>
      </w:r>
      <w:proofErr w:type="spellEnd"/>
      <w:r w:rsidRPr="00504B2C">
        <w:rPr>
          <w:rFonts w:cs="Arial"/>
        </w:rPr>
        <w:t xml:space="preserve"> clinical scanner (General Electric, Milwaukee, WI, USA) operating in research mode and using a self-shielding gradient set with maximum gradient of 33 </w:t>
      </w:r>
      <w:proofErr w:type="spellStart"/>
      <w:r w:rsidRPr="00504B2C">
        <w:rPr>
          <w:rFonts w:cs="Arial"/>
        </w:rPr>
        <w:t>mT</w:t>
      </w:r>
      <w:proofErr w:type="spellEnd"/>
      <w:r w:rsidRPr="00504B2C">
        <w:rPr>
          <w:rFonts w:cs="Arial"/>
        </w:rPr>
        <w:t>/m, and an 8-channel phased-array head coil. The imaging acquisition and processing protocol is fully described in</w:t>
      </w:r>
      <w:r w:rsidR="00CB6193">
        <w:rPr>
          <w:rFonts w:cs="Arial"/>
        </w:rPr>
        <w:fldChar w:fldCharType="begin"/>
      </w:r>
      <w:r w:rsidR="001544FE">
        <w:rPr>
          <w:rFonts w:cs="Arial"/>
        </w:rPr>
        <w:instrText xml:space="preserve"> ADDIN REFMGR.CITE &lt;Refman&gt;&lt;Cite&gt;&lt;Author&gt;Wardlaw&lt;/Author&gt;&lt;Year&gt;2011&lt;/Year&gt;&lt;RecNum&gt;11862&lt;/RecNum&gt;&lt;IDText&gt;Brain aging, cognition in youth and old age and vascular disease in the Lothian Birth Cohort 1936: rationale, design and methodology of the imaging protocol&lt;/IDText&gt;&lt;MDL Ref_Type="Journal"&gt;&lt;Ref_Type&gt;Journal&lt;/Ref_Type&gt;&lt;Ref_ID&gt;11862&lt;/Ref_ID&gt;&lt;Title_Primary&gt;Brain aging, cognition in youth and old age and vascular disease in the Lothian Birth Cohort 1936: rationale, design and methodology of the imaging protocol&lt;/Title_Primary&gt;&lt;Authors_Primary&gt;Wardlaw,J.M.&lt;/Authors_Primary&gt;&lt;Authors_Primary&gt;Bastin,M.E.&lt;/Authors_Primary&gt;&lt;Authors_Primary&gt;Valdes Hernandez,M.C.&lt;/Authors_Primary&gt;&lt;Authors_Primary&gt;Munoz Maniega,S.&lt;/Authors_Primary&gt;&lt;Authors_Primary&gt;Royle,N.A.&lt;/Authors_Primary&gt;&lt;Authors_Primary&gt;Morris,Z.&lt;/Authors_Primary&gt;&lt;Authors_Primary&gt;Clayden,J.D.&lt;/Authors_Primary&gt;&lt;Authors_Primary&gt;Sandeman,E.M.&lt;/Authors_Primary&gt;&lt;Authors_Primary&gt;Eadie,E.&lt;/Authors_Primary&gt;&lt;Authors_Primary&gt;Murray,C.&lt;/Authors_Primary&gt;&lt;Authors_Primary&gt;Starr,J.M.&lt;/Authors_Primary&gt;&lt;Authors_Primary&gt;Deary,I.J.&lt;/Authors_Primary&gt;&lt;Date_Primary&gt;2011&lt;/Date_Primary&gt;&lt;Keywords&gt;and&lt;/Keywords&gt;&lt;Keywords&gt;Brain&lt;/Keywords&gt;&lt;Keywords&gt;Cognition&lt;/Keywords&gt;&lt;Keywords&gt;DESIGN&lt;/Keywords&gt;&lt;Keywords&gt;Disease&lt;/Keywords&gt;&lt;Keywords&gt;imaging&lt;/Keywords&gt;&lt;Keywords&gt;Methodology&lt;/Keywords&gt;&lt;Keywords&gt;of&lt;/Keywords&gt;&lt;Keywords&gt;Aging&lt;/Keywords&gt;&lt;Keywords&gt;AGE&lt;/Keywords&gt;&lt;Reprint&gt;In File&lt;/Reprint&gt;&lt;Start_Page&gt;547&lt;/Start_Page&gt;&lt;End_Page&gt;559&lt;/End_Page&gt;&lt;Periodical&gt;Int J Stroke&lt;/Periodical&gt;&lt;Volume&gt;6&lt;/Volume&gt;&lt;Issue&gt;6&lt;/Issue&gt;&lt;Misc_3&gt;10.1111/j.1747-4949.2011.00683.x&lt;/Misc_3&gt;&lt;ZZ_JournalFull&gt;&lt;f name="System"&gt;Int J Stroke&lt;/f&gt;&lt;/ZZ_JournalFull&gt;&lt;ZZ_WorkformID&gt;1&lt;/ZZ_WorkformID&gt;&lt;/MDL&gt;&lt;/Cite&gt;&lt;/Refman&gt;</w:instrText>
      </w:r>
      <w:r w:rsidR="00CB6193">
        <w:rPr>
          <w:rFonts w:cs="Arial"/>
        </w:rPr>
        <w:fldChar w:fldCharType="separate"/>
      </w:r>
      <w:r w:rsidR="00547674">
        <w:rPr>
          <w:rFonts w:cs="Arial"/>
          <w:noProof/>
        </w:rPr>
        <w:t>(10)</w:t>
      </w:r>
      <w:r w:rsidR="00CB6193">
        <w:rPr>
          <w:rFonts w:cs="Arial"/>
        </w:rPr>
        <w:fldChar w:fldCharType="end"/>
      </w:r>
      <w:r w:rsidRPr="00504B2C">
        <w:rPr>
          <w:rFonts w:cs="Arial"/>
        </w:rPr>
        <w:t xml:space="preserve">. For this particular study, we used hippocampal, ventricular, subarachnoid space, cerebellar and white matter </w:t>
      </w:r>
      <w:proofErr w:type="spellStart"/>
      <w:r w:rsidRPr="00504B2C">
        <w:rPr>
          <w:rFonts w:cs="Arial"/>
        </w:rPr>
        <w:t>hyperintensity</w:t>
      </w:r>
      <w:proofErr w:type="spellEnd"/>
      <w:r w:rsidRPr="00504B2C">
        <w:rPr>
          <w:rFonts w:cs="Arial"/>
        </w:rPr>
        <w:t xml:space="preserve"> volumes, all adjusted for </w:t>
      </w:r>
      <w:r w:rsidRPr="00504B2C">
        <w:rPr>
          <w:rFonts w:cs="Arial"/>
        </w:rPr>
        <w:lastRenderedPageBreak/>
        <w:t xml:space="preserve">intracranial volume, as </w:t>
      </w:r>
      <w:r w:rsidR="00E36B1A">
        <w:rPr>
          <w:rFonts w:cs="Arial"/>
        </w:rPr>
        <w:t xml:space="preserve">it has been reported that </w:t>
      </w:r>
      <w:r w:rsidRPr="00504B2C">
        <w:rPr>
          <w:rFonts w:cs="Arial"/>
        </w:rPr>
        <w:t>these brain imaging parameters could be influenced by deficient iodine intake</w:t>
      </w:r>
      <w:r w:rsidR="00CB6193">
        <w:rPr>
          <w:rFonts w:cs="Arial"/>
        </w:rPr>
        <w:fldChar w:fldCharType="begin"/>
      </w:r>
      <w:r w:rsidR="001544FE">
        <w:rPr>
          <w:rFonts w:cs="Arial"/>
        </w:rPr>
        <w:instrText xml:space="preserve"> ADDIN REFMGR.CITE &lt;Refman&gt;&lt;Cite&gt;&lt;Author&gt;Valdes Hernandez&lt;/Author&gt;&lt;Year&gt;2013&lt;/Year&gt;&lt;RecNum&gt;20839&lt;/RecNum&gt;&lt;IDText&gt;Brain findings associated with iodine deficiency identified by magnetic resonance methods: a systematic review&lt;/IDText&gt;&lt;MDL Ref_Type="Journal"&gt;&lt;Ref_Type&gt;Journal&lt;/Ref_Type&gt;&lt;Ref_ID&gt;20839&lt;/Ref_ID&gt;&lt;Title_Primary&gt;Brain findings associated with iodine deficiency identified by magnetic resonance methods: a systematic review&lt;/Title_Primary&gt;&lt;Authors_Primary&gt;Valdes Hernandez,M.C.&lt;/Authors_Primary&gt;&lt;Authors_Primary&gt;Wilson,K.L.&lt;/Authors_Primary&gt;&lt;Authors_Primary&gt;Aspray,E.C.&lt;/Authors_Primary&gt;&lt;Authors_Primary&gt;Wardlaw,J.M.&lt;/Authors_Primary&gt;&lt;Date_Primary&gt;2013&lt;/Date_Primary&gt;&lt;Keywords&gt;Brain&lt;/Keywords&gt;&lt;Keywords&gt;deficiency&lt;/Keywords&gt;&lt;Keywords&gt;Magnetic Resonance&lt;/Keywords&gt;&lt;Keywords&gt;RESONANCE&lt;/Keywords&gt;&lt;Keywords&gt;methods&lt;/Keywords&gt;&lt;Keywords&gt;systematic review&lt;/Keywords&gt;&lt;Keywords&gt;review&lt;/Keywords&gt;&lt;Reprint&gt;Not in File&lt;/Reprint&gt;&lt;Start_Page&gt;180&lt;/Start_Page&gt;&lt;End_Page&gt;195&lt;/End_Page&gt;&lt;Periodical&gt;Open Journal of Radiology&lt;/Periodical&gt;&lt;Volume&gt;3&lt;/Volume&gt;&lt;ZZ_JournalFull&gt;&lt;f name="System"&gt;Open Journal of Radiology&lt;/f&gt;&lt;/ZZ_JournalFull&gt;&lt;ZZ_WorkformID&gt;1&lt;/ZZ_WorkformID&gt;&lt;/MDL&gt;&lt;/Cite&gt;&lt;/Refman&gt;</w:instrText>
      </w:r>
      <w:r w:rsidR="00CB6193">
        <w:rPr>
          <w:rFonts w:cs="Arial"/>
        </w:rPr>
        <w:fldChar w:fldCharType="separate"/>
      </w:r>
      <w:r w:rsidR="003C07F6">
        <w:rPr>
          <w:rFonts w:cs="Arial"/>
          <w:noProof/>
        </w:rPr>
        <w:t>(7)</w:t>
      </w:r>
      <w:r w:rsidR="00CB6193">
        <w:rPr>
          <w:rFonts w:cs="Arial"/>
        </w:rPr>
        <w:fldChar w:fldCharType="end"/>
      </w:r>
      <w:r w:rsidRPr="00504B2C">
        <w:rPr>
          <w:rFonts w:cs="Arial"/>
        </w:rPr>
        <w:t>. They were obtained from</w:t>
      </w:r>
      <w:r w:rsidRPr="00504B2C">
        <w:rPr>
          <w:rFonts w:eastAsia="DejaVu Sans" w:cs="Calibri"/>
          <w:color w:val="00000A"/>
          <w:kern w:val="1"/>
          <w:lang w:eastAsia="zh-CN"/>
        </w:rPr>
        <w:t xml:space="preserve"> </w:t>
      </w:r>
      <w:r w:rsidRPr="00504B2C">
        <w:rPr>
          <w:rFonts w:eastAsia="DejaVu Sans" w:cs="Arial"/>
          <w:color w:val="00000A"/>
          <w:kern w:val="1"/>
          <w:lang w:eastAsia="zh-CN"/>
        </w:rPr>
        <w:t>a</w:t>
      </w:r>
      <w:r w:rsidRPr="00504B2C">
        <w:rPr>
          <w:rFonts w:eastAsia="DejaVu Sans" w:cs="Calibri"/>
          <w:color w:val="00000A"/>
          <w:kern w:val="1"/>
          <w:lang w:eastAsia="zh-CN"/>
        </w:rPr>
        <w:t xml:space="preserve"> </w:t>
      </w:r>
      <w:r w:rsidRPr="00504B2C">
        <w:rPr>
          <w:rFonts w:cs="Arial"/>
        </w:rPr>
        <w:t>high resolution T1-weighted (T1W), and whole brain T2- (T2W), T2*- (T2*W) and fluid attenuated inversion recovery (FLAIR)-weighted MRI sequences</w:t>
      </w:r>
      <w:r w:rsidR="00A42221">
        <w:rPr>
          <w:rFonts w:cs="Arial"/>
        </w:rPr>
        <w:t>.</w:t>
      </w:r>
      <w:r w:rsidRPr="00504B2C">
        <w:rPr>
          <w:rFonts w:cs="Arial"/>
        </w:rPr>
        <w:t xml:space="preserve"> </w:t>
      </w:r>
    </w:p>
    <w:p w14:paraId="5DAD345B" w14:textId="5BE4F452" w:rsidR="00504B2C" w:rsidRDefault="00504B2C" w:rsidP="00504B2C">
      <w:pPr>
        <w:spacing w:before="120" w:after="120" w:line="360" w:lineRule="auto"/>
        <w:jc w:val="both"/>
        <w:rPr>
          <w:rFonts w:cs="Arial"/>
        </w:rPr>
      </w:pPr>
      <w:r w:rsidRPr="00504B2C">
        <w:rPr>
          <w:rFonts w:cs="Arial"/>
        </w:rPr>
        <w:t xml:space="preserve">Briefly, brain ventricular boundaries were semi-automatically delineated from the T1W volume scan using a region-growing thresholding method from the Region of Interest tool in </w:t>
      </w:r>
      <w:proofErr w:type="spellStart"/>
      <w:r w:rsidRPr="00504B2C">
        <w:rPr>
          <w:rFonts w:cs="Arial"/>
        </w:rPr>
        <w:t>Analyze</w:t>
      </w:r>
      <w:proofErr w:type="spellEnd"/>
      <w:r w:rsidRPr="00504B2C">
        <w:rPr>
          <w:rFonts w:cs="Arial"/>
        </w:rPr>
        <w:t xml:space="preserve"> 9.0</w:t>
      </w:r>
      <w:r w:rsidRPr="00504B2C">
        <w:rPr>
          <w:rFonts w:cs="Arial"/>
          <w:vertAlign w:val="superscript"/>
        </w:rPr>
        <w:t>TM</w:t>
      </w:r>
      <w:r w:rsidRPr="00504B2C">
        <w:rPr>
          <w:rFonts w:cs="Arial"/>
        </w:rPr>
        <w:t xml:space="preserve"> (</w:t>
      </w:r>
      <w:proofErr w:type="spellStart"/>
      <w:r w:rsidRPr="00504B2C">
        <w:rPr>
          <w:rFonts w:cs="Arial"/>
        </w:rPr>
        <w:t>AnalyzeDirect</w:t>
      </w:r>
      <w:proofErr w:type="spellEnd"/>
      <w:r w:rsidRPr="00504B2C">
        <w:rPr>
          <w:rFonts w:cs="Arial"/>
        </w:rPr>
        <w:t xml:space="preserve">, Mayo Clinic) software. Hippocampi </w:t>
      </w:r>
      <w:r w:rsidRPr="00504B2C">
        <w:rPr>
          <w:rFonts w:cs="Arial"/>
          <w:lang w:val="en-US"/>
        </w:rPr>
        <w:t xml:space="preserve">were also segmented from the high-resolution T1W volume scan using an </w:t>
      </w:r>
      <w:r w:rsidR="0010129F">
        <w:rPr>
          <w:rFonts w:cs="Arial"/>
          <w:lang w:val="en-US"/>
        </w:rPr>
        <w:t xml:space="preserve">automatic </w:t>
      </w:r>
      <w:r w:rsidRPr="00504B2C">
        <w:rPr>
          <w:rFonts w:cs="Arial"/>
          <w:lang w:val="en-US"/>
        </w:rPr>
        <w:t xml:space="preserve">atlas-based segmentation </w:t>
      </w:r>
      <w:r w:rsidR="0010129F">
        <w:rPr>
          <w:rFonts w:cs="Arial"/>
          <w:lang w:val="en-US"/>
        </w:rPr>
        <w:t>pipeline</w:t>
      </w:r>
      <w:r w:rsidR="0010129F" w:rsidRPr="00504B2C">
        <w:rPr>
          <w:rFonts w:cs="Arial"/>
          <w:lang w:val="en-US"/>
        </w:rPr>
        <w:t xml:space="preserve"> </w:t>
      </w:r>
      <w:r w:rsidRPr="00504B2C">
        <w:rPr>
          <w:rFonts w:cs="Arial"/>
          <w:lang w:val="en-US"/>
        </w:rPr>
        <w:t xml:space="preserve">that uses </w:t>
      </w:r>
      <w:r w:rsidRPr="00504B2C">
        <w:rPr>
          <w:rFonts w:cs="Arial"/>
        </w:rPr>
        <w:t>FSL tools: SUSAN</w:t>
      </w:r>
      <w:r w:rsidR="00CB6193">
        <w:rPr>
          <w:rFonts w:cs="Arial"/>
        </w:rPr>
        <w:fldChar w:fldCharType="begin"/>
      </w:r>
      <w:r w:rsidR="001544FE">
        <w:rPr>
          <w:rFonts w:cs="Arial"/>
        </w:rPr>
        <w:instrText xml:space="preserve"> ADDIN REFMGR.CITE &lt;Refman&gt;&lt;Cite&gt;&lt;Author&gt;Smith&lt;/Author&gt;&lt;Year&gt;1997&lt;/Year&gt;&lt;RecNum&gt;21590&lt;/RecNum&gt;&lt;IDText&gt;SUSAN - a new approach to low level image processing&lt;/IDText&gt;&lt;MDL Ref_Type="Journal"&gt;&lt;Ref_Type&gt;Journal&lt;/Ref_Type&gt;&lt;Ref_ID&gt;21590&lt;/Ref_ID&gt;&lt;Title_Primary&gt;&lt;f name="Times New Roman"&gt;SUSAN - a new approach to low level image processing&lt;/f&gt;&lt;/Title_Primary&gt;&lt;Authors_Primary&gt;Smith,S.M.&lt;/Authors_Primary&gt;&lt;Authors_Primary&gt;Brady,J.M.&lt;/Authors_Primary&gt;&lt;Date_Primary&gt;1997/5/1&lt;/Date_Primary&gt;&lt;Reprint&gt;Not in File&lt;/Reprint&gt;&lt;Start_Page&gt;45&lt;/Start_Page&gt;&lt;End_Page&gt;78&lt;/End_Page&gt;&lt;Periodical&gt;Int J Comp Vision&lt;/Periodical&gt;&lt;Volume&gt;23&lt;/Volume&gt;&lt;Issue&gt;1&lt;/Issue&gt;&lt;ZZ_JournalFull&gt;&lt;f name="System"&gt;Int J Comp Vision&lt;/f&gt;&lt;/ZZ_JournalFull&gt;&lt;ZZ_WorkformID&gt;1&lt;/ZZ_WorkformID&gt;&lt;/MDL&gt;&lt;/Cite&gt;&lt;/Refman&gt;</w:instrText>
      </w:r>
      <w:r w:rsidR="00CB6193">
        <w:rPr>
          <w:rFonts w:cs="Arial"/>
        </w:rPr>
        <w:fldChar w:fldCharType="separate"/>
      </w:r>
      <w:r w:rsidR="00547674">
        <w:rPr>
          <w:rFonts w:cs="Arial"/>
          <w:noProof/>
        </w:rPr>
        <w:t>(11)</w:t>
      </w:r>
      <w:r w:rsidR="00CB6193">
        <w:rPr>
          <w:rFonts w:cs="Arial"/>
        </w:rPr>
        <w:fldChar w:fldCharType="end"/>
      </w:r>
      <w:r w:rsidRPr="00504B2C">
        <w:rPr>
          <w:rFonts w:cs="Arial"/>
        </w:rPr>
        <w:t>, FLIRT</w:t>
      </w:r>
      <w:r w:rsidR="00CB6193">
        <w:rPr>
          <w:rFonts w:cs="Arial"/>
        </w:rPr>
        <w:fldChar w:fldCharType="begin">
          <w:fldData xml:space="preserve">PFJlZm1hbj48Q2l0ZT48QXV0aG9yPkplbmtpbnNvbjwvQXV0aG9yPjxZZWFyPjIwMDI8L1llYXI+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</w:fldData>
        </w:fldChar>
      </w:r>
      <w:r w:rsidR="001544FE">
        <w:rPr>
          <w:rFonts w:cs="Arial"/>
        </w:rPr>
        <w:instrText xml:space="preserve"> ADDIN REFMGR.CITE </w:instrText>
      </w:r>
      <w:r w:rsidR="001544FE">
        <w:rPr>
          <w:rFonts w:cs="Arial"/>
        </w:rPr>
        <w:fldChar w:fldCharType="begin">
          <w:fldData xml:space="preserve">PFJlZm1hbj48Q2l0ZT48QXV0aG9yPkplbmtpbnNvbjwvQXV0aG9yPjxZZWFyPjIwMDI8L1llYXI+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</w:fldData>
        </w:fldChar>
      </w:r>
      <w:r w:rsidR="001544FE">
        <w:rPr>
          <w:rFonts w:cs="Arial"/>
        </w:rPr>
        <w:instrText xml:space="preserve"> ADDIN EN.CITE.DATA </w:instrText>
      </w:r>
      <w:r w:rsidR="001544FE">
        <w:rPr>
          <w:rFonts w:cs="Arial"/>
        </w:rPr>
      </w:r>
      <w:r w:rsidR="001544FE">
        <w:rPr>
          <w:rFonts w:cs="Arial"/>
        </w:rPr>
        <w:fldChar w:fldCharType="end"/>
      </w:r>
      <w:r w:rsidR="00CB6193">
        <w:rPr>
          <w:rFonts w:cs="Arial"/>
        </w:rPr>
      </w:r>
      <w:r w:rsidR="00CB6193">
        <w:rPr>
          <w:rFonts w:cs="Arial"/>
        </w:rPr>
        <w:fldChar w:fldCharType="separate"/>
      </w:r>
      <w:r w:rsidR="00547674">
        <w:rPr>
          <w:rFonts w:cs="Arial"/>
          <w:noProof/>
        </w:rPr>
        <w:t>(12)</w:t>
      </w:r>
      <w:r w:rsidR="00CB6193">
        <w:rPr>
          <w:rFonts w:cs="Arial"/>
        </w:rPr>
        <w:fldChar w:fldCharType="end"/>
      </w:r>
      <w:r w:rsidRPr="00504B2C">
        <w:rPr>
          <w:rFonts w:cs="Arial"/>
        </w:rPr>
        <w:t xml:space="preserve"> and FIRST</w:t>
      </w:r>
      <w:r w:rsidR="00CB6193">
        <w:rPr>
          <w:rFonts w:cs="Arial"/>
        </w:rPr>
        <w:fldChar w:fldCharType="begin">
          <w:fldData xml:space="preserve">PFJlZm1hbj48Q2l0ZT48QXV0aG9yPlBhdGVuYXVkZTwvQXV0aG9yPjxZZWFyPjIwMTE8L1llYXI+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</w:fldData>
        </w:fldChar>
      </w:r>
      <w:r w:rsidR="001544FE">
        <w:rPr>
          <w:rFonts w:cs="Arial"/>
        </w:rPr>
        <w:instrText xml:space="preserve"> ADDIN REFMGR.CITE </w:instrText>
      </w:r>
      <w:r w:rsidR="001544FE">
        <w:rPr>
          <w:rFonts w:cs="Arial"/>
        </w:rPr>
        <w:fldChar w:fldCharType="begin">
          <w:fldData xml:space="preserve">PFJlZm1hbj48Q2l0ZT48QXV0aG9yPlBhdGVuYXVkZTwvQXV0aG9yPjxZZWFyPjIwMTE8L1llYXI+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</w:fldData>
        </w:fldChar>
      </w:r>
      <w:r w:rsidR="001544FE">
        <w:rPr>
          <w:rFonts w:cs="Arial"/>
        </w:rPr>
        <w:instrText xml:space="preserve"> ADDIN EN.CITE.DATA </w:instrText>
      </w:r>
      <w:r w:rsidR="001544FE">
        <w:rPr>
          <w:rFonts w:cs="Arial"/>
        </w:rPr>
      </w:r>
      <w:r w:rsidR="001544FE">
        <w:rPr>
          <w:rFonts w:cs="Arial"/>
        </w:rPr>
        <w:fldChar w:fldCharType="end"/>
      </w:r>
      <w:r w:rsidR="00CB6193">
        <w:rPr>
          <w:rFonts w:cs="Arial"/>
        </w:rPr>
      </w:r>
      <w:r w:rsidR="00CB6193">
        <w:rPr>
          <w:rFonts w:cs="Arial"/>
        </w:rPr>
        <w:fldChar w:fldCharType="separate"/>
      </w:r>
      <w:r w:rsidR="00547674">
        <w:rPr>
          <w:rFonts w:cs="Arial"/>
          <w:noProof/>
        </w:rPr>
        <w:t>(13)</w:t>
      </w:r>
      <w:r w:rsidR="00CB6193">
        <w:rPr>
          <w:rFonts w:cs="Arial"/>
        </w:rPr>
        <w:fldChar w:fldCharType="end"/>
      </w:r>
      <w:r w:rsidR="0010129F">
        <w:rPr>
          <w:rFonts w:cs="Arial"/>
        </w:rPr>
        <w:t>, followed by manual editing when required</w:t>
      </w:r>
      <w:r w:rsidRPr="00504B2C">
        <w:rPr>
          <w:rFonts w:cs="Arial"/>
        </w:rPr>
        <w:t xml:space="preserve">. Intracranial volume was obtained semi-automatically from thresholding the T2*W sequence using the Object Extraction tool in </w:t>
      </w:r>
      <w:proofErr w:type="spellStart"/>
      <w:r w:rsidRPr="00504B2C">
        <w:rPr>
          <w:rFonts w:cs="Arial"/>
        </w:rPr>
        <w:t>Analyze</w:t>
      </w:r>
      <w:proofErr w:type="spellEnd"/>
      <w:r w:rsidRPr="00504B2C">
        <w:rPr>
          <w:rFonts w:cs="Arial"/>
        </w:rPr>
        <w:t xml:space="preserve"> 9.0</w:t>
      </w:r>
      <w:r w:rsidRPr="00504B2C">
        <w:rPr>
          <w:rFonts w:cs="Arial"/>
          <w:vertAlign w:val="superscript"/>
        </w:rPr>
        <w:t>TM</w:t>
      </w:r>
      <w:r w:rsidRPr="00504B2C">
        <w:rPr>
          <w:rFonts w:cs="Arial"/>
        </w:rPr>
        <w:t xml:space="preserve">, followed by manual removal of erroneously included structures and rectification of the inferior limit at the level of the odontoid peg. A validated multispectral image segmentation method: </w:t>
      </w:r>
      <w:proofErr w:type="spellStart"/>
      <w:proofErr w:type="gramStart"/>
      <w:r w:rsidRPr="00504B2C">
        <w:rPr>
          <w:rFonts w:cs="Arial"/>
        </w:rPr>
        <w:t>MCMxxxVI</w:t>
      </w:r>
      <w:proofErr w:type="spellEnd"/>
      <w:proofErr w:type="gramEnd"/>
      <w:r w:rsidR="00CB6193">
        <w:rPr>
          <w:rFonts w:cs="Arial"/>
        </w:rPr>
        <w:fldChar w:fldCharType="begin">
          <w:fldData xml:space="preserve">PFJlZm1hbj48Q2l0ZT48QXV0aG9yPkhlcm5hbmRlejwvQXV0aG9yPjxZZWFyPjIwMTA8L1llYXI+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</w:fldData>
        </w:fldChar>
      </w:r>
      <w:r w:rsidR="001544FE">
        <w:rPr>
          <w:rFonts w:cs="Arial"/>
        </w:rPr>
        <w:instrText xml:space="preserve"> ADDIN REFMGR.CITE </w:instrText>
      </w:r>
      <w:r w:rsidR="001544FE">
        <w:rPr>
          <w:rFonts w:cs="Arial"/>
        </w:rPr>
        <w:fldChar w:fldCharType="begin">
          <w:fldData xml:space="preserve">PFJlZm1hbj48Q2l0ZT48QXV0aG9yPkhlcm5hbmRlejwvQXV0aG9yPjxZZWFyPjIwMTA8L1llYXI+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</w:fldData>
        </w:fldChar>
      </w:r>
      <w:r w:rsidR="001544FE">
        <w:rPr>
          <w:rFonts w:cs="Arial"/>
        </w:rPr>
        <w:instrText xml:space="preserve"> ADDIN EN.CITE.DATA </w:instrText>
      </w:r>
      <w:r w:rsidR="001544FE">
        <w:rPr>
          <w:rFonts w:cs="Arial"/>
        </w:rPr>
      </w:r>
      <w:r w:rsidR="001544FE">
        <w:rPr>
          <w:rFonts w:cs="Arial"/>
        </w:rPr>
        <w:fldChar w:fldCharType="end"/>
      </w:r>
      <w:r w:rsidR="00CB6193">
        <w:rPr>
          <w:rFonts w:cs="Arial"/>
        </w:rPr>
      </w:r>
      <w:r w:rsidR="00CB6193">
        <w:rPr>
          <w:rFonts w:cs="Arial"/>
        </w:rPr>
        <w:fldChar w:fldCharType="separate"/>
      </w:r>
      <w:r w:rsidR="00547674">
        <w:rPr>
          <w:rFonts w:cs="Arial"/>
          <w:noProof/>
        </w:rPr>
        <w:t>(14)</w:t>
      </w:r>
      <w:r w:rsidR="00CB6193">
        <w:rPr>
          <w:rFonts w:cs="Arial"/>
        </w:rPr>
        <w:fldChar w:fldCharType="end"/>
      </w:r>
      <w:r w:rsidRPr="00504B2C">
        <w:rPr>
          <w:rFonts w:cs="Arial"/>
        </w:rPr>
        <w:t xml:space="preserve"> implemented on a freely available tool: bric1936 (</w:t>
      </w:r>
      <w:hyperlink r:id="rId10" w:history="1">
        <w:r w:rsidRPr="00504B2C">
          <w:rPr>
            <w:rStyle w:val="Hyperlink"/>
            <w:rFonts w:cs="Arial"/>
          </w:rPr>
          <w:t>www.sourceforge.net/projects/bric1936</w:t>
        </w:r>
      </w:hyperlink>
      <w:r w:rsidRPr="00504B2C">
        <w:rPr>
          <w:rFonts w:cs="Arial"/>
        </w:rPr>
        <w:t xml:space="preserve">), was used to extract white matter </w:t>
      </w:r>
      <w:proofErr w:type="spellStart"/>
      <w:r w:rsidRPr="00504B2C">
        <w:rPr>
          <w:rFonts w:cs="Arial"/>
        </w:rPr>
        <w:t>hyperintensities</w:t>
      </w:r>
      <w:proofErr w:type="spellEnd"/>
      <w:r w:rsidRPr="00504B2C">
        <w:rPr>
          <w:rFonts w:cs="Arial"/>
        </w:rPr>
        <w:t xml:space="preserve"> (WMH) and cerebrospinal fluid from the colour data fusion of co-registered T2*W and FLAIR images. Superficial subarachnoid space (SSS, the space between the inner edge of the dura and the brain cortical surface) volume was calculated as the difference between the total cerebrospinal fluid and the ventricular volumes. Finally, cerebellar white matter and cortical volumes were obtained automatically using </w:t>
      </w:r>
      <w:proofErr w:type="spellStart"/>
      <w:r w:rsidRPr="00504B2C">
        <w:rPr>
          <w:rFonts w:cs="Arial"/>
        </w:rPr>
        <w:t>FreeSurfer</w:t>
      </w:r>
      <w:proofErr w:type="spellEnd"/>
      <w:r w:rsidRPr="00504B2C">
        <w:rPr>
          <w:rFonts w:cs="Arial"/>
        </w:rPr>
        <w:t xml:space="preserve"> (</w:t>
      </w:r>
      <w:hyperlink r:id="rId11" w:history="1">
        <w:r w:rsidRPr="00504B2C">
          <w:rPr>
            <w:rStyle w:val="Hyperlink"/>
            <w:rFonts w:cs="Arial"/>
          </w:rPr>
          <w:t>http://freesurfer.net/</w:t>
        </w:r>
      </w:hyperlink>
      <w:r w:rsidRPr="00504B2C">
        <w:rPr>
          <w:rFonts w:cs="Arial"/>
        </w:rPr>
        <w:t>).</w:t>
      </w:r>
    </w:p>
    <w:p w14:paraId="58BE7281" w14:textId="77777777" w:rsidR="00A42221" w:rsidRPr="00504B2C" w:rsidRDefault="00A42221" w:rsidP="00504B2C">
      <w:pPr>
        <w:spacing w:before="120" w:after="120" w:line="360" w:lineRule="auto"/>
        <w:jc w:val="both"/>
        <w:rPr>
          <w:rFonts w:cs="Arial"/>
        </w:rPr>
      </w:pPr>
    </w:p>
    <w:p w14:paraId="1D3BAAD6" w14:textId="598362AC" w:rsidR="0060325B" w:rsidRPr="00661B01" w:rsidRDefault="00117E7B" w:rsidP="00504B2C">
      <w:pPr>
        <w:spacing w:before="120" w:after="120" w:line="360" w:lineRule="auto"/>
        <w:rPr>
          <w:b/>
        </w:rPr>
      </w:pPr>
      <w:r>
        <w:rPr>
          <w:b/>
        </w:rPr>
        <w:t xml:space="preserve">2.3 </w:t>
      </w:r>
      <w:r w:rsidR="0060325B">
        <w:rPr>
          <w:b/>
        </w:rPr>
        <w:t>Cogniti</w:t>
      </w:r>
      <w:r w:rsidR="008B0EAA">
        <w:rPr>
          <w:b/>
        </w:rPr>
        <w:t>ve testing</w:t>
      </w:r>
    </w:p>
    <w:p w14:paraId="1515A3C5" w14:textId="0CCDD47E" w:rsidR="00504B2C" w:rsidRPr="00504B2C" w:rsidRDefault="00504B2C" w:rsidP="00504B2C">
      <w:pPr>
        <w:autoSpaceDE w:val="0"/>
        <w:autoSpaceDN w:val="0"/>
        <w:spacing w:line="360" w:lineRule="auto"/>
        <w:jc w:val="both"/>
        <w:rPr>
          <w:rFonts w:eastAsia="Arial Unicode MS" w:cs="Arial"/>
        </w:rPr>
      </w:pPr>
      <w:r w:rsidRPr="00504B2C">
        <w:rPr>
          <w:rFonts w:eastAsia="Arial Unicode MS" w:cs="Arial"/>
        </w:rPr>
        <w:t>For this study, we used cognitive measures obtained at the time of the</w:t>
      </w:r>
      <w:r w:rsidR="00170B76">
        <w:rPr>
          <w:rFonts w:eastAsia="Arial Unicode MS" w:cs="Arial"/>
        </w:rPr>
        <w:t xml:space="preserve"> MRI scan</w:t>
      </w:r>
      <w:r w:rsidR="00E36B1A">
        <w:rPr>
          <w:rFonts w:eastAsia="Arial Unicode MS" w:cs="Arial"/>
        </w:rPr>
        <w:t xml:space="preserve"> / wave 2</w:t>
      </w:r>
      <w:r w:rsidR="00170B76">
        <w:rPr>
          <w:rFonts w:eastAsia="Arial Unicode MS" w:cs="Arial"/>
        </w:rPr>
        <w:t xml:space="preserve"> (mean age 72.7, SD 0.8</w:t>
      </w:r>
      <w:r w:rsidRPr="00504B2C">
        <w:rPr>
          <w:rFonts w:eastAsia="Arial Unicode MS" w:cs="Arial"/>
        </w:rPr>
        <w:t xml:space="preserve"> years). These cognit</w:t>
      </w:r>
      <w:r w:rsidR="006F5ABA">
        <w:rPr>
          <w:rFonts w:eastAsia="Arial Unicode MS" w:cs="Arial"/>
        </w:rPr>
        <w:t xml:space="preserve">ive variables, described in </w:t>
      </w:r>
      <w:r w:rsidR="00CB6193">
        <w:rPr>
          <w:rFonts w:eastAsia="Arial Unicode MS" w:cs="Arial"/>
        </w:rPr>
        <w:fldChar w:fldCharType="begin">
          <w:fldData xml:space="preserve">PFJlZm1hbj48Q2l0ZT48QXV0aG9yPkRlYXJ5PC9BdXRob3I+PFllYXI+MjAwNzwvWWVhcj48UmVj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</w:fldData>
        </w:fldChar>
      </w:r>
      <w:r w:rsidR="001544FE">
        <w:rPr>
          <w:rFonts w:eastAsia="Arial Unicode MS" w:cs="Arial"/>
        </w:rPr>
        <w:instrText xml:space="preserve"> ADDIN REFMGR.CITE </w:instrText>
      </w:r>
      <w:r w:rsidR="001544FE">
        <w:rPr>
          <w:rFonts w:eastAsia="Arial Unicode MS" w:cs="Arial"/>
        </w:rPr>
        <w:fldChar w:fldCharType="begin">
          <w:fldData xml:space="preserve">PFJlZm1hbj48Q2l0ZT48QXV0aG9yPkRlYXJ5PC9BdXRob3I+PFllYXI+MjAwNzwvWWVhcj48UmVj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</w:fldData>
        </w:fldChar>
      </w:r>
      <w:r w:rsidR="001544FE">
        <w:rPr>
          <w:rFonts w:eastAsia="Arial Unicode MS" w:cs="Arial"/>
        </w:rPr>
        <w:instrText xml:space="preserve"> ADDIN EN.CITE.DATA </w:instrText>
      </w:r>
      <w:r w:rsidR="001544FE">
        <w:rPr>
          <w:rFonts w:eastAsia="Arial Unicode MS" w:cs="Arial"/>
        </w:rPr>
      </w:r>
      <w:r w:rsidR="001544FE">
        <w:rPr>
          <w:rFonts w:eastAsia="Arial Unicode MS" w:cs="Arial"/>
        </w:rPr>
        <w:fldChar w:fldCharType="end"/>
      </w:r>
      <w:r w:rsidR="00CB6193">
        <w:rPr>
          <w:rFonts w:eastAsia="Arial Unicode MS" w:cs="Arial"/>
        </w:rPr>
      </w:r>
      <w:r w:rsidR="00CB6193">
        <w:rPr>
          <w:rFonts w:eastAsia="Arial Unicode MS" w:cs="Arial"/>
        </w:rPr>
        <w:fldChar w:fldCharType="separate"/>
      </w:r>
      <w:r w:rsidR="003C07F6">
        <w:rPr>
          <w:rFonts w:eastAsia="Arial Unicode MS" w:cs="Arial"/>
          <w:noProof/>
        </w:rPr>
        <w:t>(8)</w:t>
      </w:r>
      <w:r w:rsidR="00CB6193">
        <w:rPr>
          <w:rFonts w:eastAsia="Arial Unicode MS" w:cs="Arial"/>
        </w:rPr>
        <w:fldChar w:fldCharType="end"/>
      </w:r>
      <w:r w:rsidRPr="00504B2C">
        <w:rPr>
          <w:rFonts w:eastAsia="Arial Unicode MS" w:cs="Arial"/>
        </w:rPr>
        <w:t xml:space="preserve">, were: </w:t>
      </w:r>
      <w:r w:rsidR="00600003">
        <w:rPr>
          <w:rFonts w:eastAsia="Arial Unicode MS" w:cs="Arial"/>
        </w:rPr>
        <w:t>a</w:t>
      </w:r>
      <w:r w:rsidRPr="00504B2C">
        <w:rPr>
          <w:rFonts w:eastAsia="Arial Unicode MS" w:cs="Arial"/>
        </w:rPr>
        <w:t xml:space="preserve"> general cognitive factor (g), general processing speed (g-speed) and general memory (g-memory).</w:t>
      </w:r>
      <w:r w:rsidRPr="00504B2C">
        <w:rPr>
          <w:rFonts w:cs="Arial"/>
        </w:rPr>
        <w:t xml:space="preserve"> These cognitive ability measures (i.e. g, g-speed and g-memory) were generated using principal component analysis from batteries of well-validated cognitive tests. To derive g,</w:t>
      </w:r>
      <w:r w:rsidRPr="00504B2C">
        <w:rPr>
          <w:rFonts w:eastAsia="Calibri" w:cs="Arial"/>
        </w:rPr>
        <w:t xml:space="preserve"> six subtests of the WAIS-III</w:t>
      </w:r>
      <w:r w:rsidRPr="00504B2C">
        <w:rPr>
          <w:rFonts w:eastAsia="Calibri" w:cs="Arial"/>
          <w:vertAlign w:val="superscript"/>
        </w:rPr>
        <w:t>UK</w:t>
      </w:r>
      <w:r w:rsidRPr="00504B2C">
        <w:rPr>
          <w:rFonts w:eastAsia="Calibri" w:cs="Arial"/>
        </w:rPr>
        <w:t xml:space="preserve"> </w:t>
      </w:r>
      <w:r w:rsidR="00CB6193">
        <w:rPr>
          <w:rFonts w:eastAsia="Calibri" w:cs="Arial"/>
        </w:rPr>
        <w:fldChar w:fldCharType="begin"/>
      </w:r>
      <w:r w:rsidR="001544FE">
        <w:rPr>
          <w:rFonts w:eastAsia="Calibri" w:cs="Arial"/>
        </w:rPr>
        <w:instrText xml:space="preserve"> ADDIN REFMGR.CITE &lt;Refman&gt;&lt;Cite&gt;&lt;Author&gt;Wechsler&lt;/Author&gt;&lt;Year&gt;1997&lt;/Year&gt;&lt;RecNum&gt;9088&lt;/RecNum&gt;&lt;IDText&gt;WAIS-III: Administration and scoring manual : Wechsler adult intelligence scale&lt;/IDText&gt;&lt;MDL Ref_Type="Book, Whole"&gt;&lt;Ref_Type&gt;Book, Whole&lt;/Ref_Type&gt;&lt;Ref_ID&gt;9088&lt;/Ref_ID&gt;&lt;Title_Primary&gt;WAIS-III: Administration and scoring manual : Wechsler adult intelligence scale&lt;/Title_Primary&gt;&lt;Authors_Primary&gt;Wechsler,D.&lt;/Authors_Primary&gt;&lt;Date_Primary&gt;1997&lt;/Date_Primary&gt;&lt;Keywords&gt;Adult&lt;/Keywords&gt;&lt;Keywords&gt;Intelligence&lt;/Keywords&gt;&lt;Keywords&gt;and&lt;/Keywords&gt;&lt;Reprint&gt;Not in File&lt;/Reprint&gt;&lt;Start_Page&gt;1&lt;/Start_Page&gt;&lt;End_Page&gt;350&lt;/End_Page&gt;&lt;Volume&gt;3rd&lt;/Volume&gt;&lt;Pub_Place&gt;London&lt;/Pub_Place&gt;&lt;Publisher&gt;Psychological Corporation&lt;/Publisher&gt;&lt;ISSN_ISBN&gt;9780158981031 9780158981031&lt;/ISSN_ISBN&gt;&lt;ZZ_WorkformID&gt;2&lt;/ZZ_WorkformID&gt;&lt;/MDL&gt;&lt;/Cite&gt;&lt;/Refman&gt;</w:instrText>
      </w:r>
      <w:r w:rsidR="00CB6193">
        <w:rPr>
          <w:rFonts w:eastAsia="Calibri" w:cs="Arial"/>
        </w:rPr>
        <w:fldChar w:fldCharType="separate"/>
      </w:r>
      <w:r w:rsidR="00547674">
        <w:rPr>
          <w:rFonts w:eastAsia="Calibri" w:cs="Arial"/>
          <w:noProof/>
        </w:rPr>
        <w:t>(15)</w:t>
      </w:r>
      <w:r w:rsidR="00CB6193">
        <w:rPr>
          <w:rFonts w:eastAsia="Calibri" w:cs="Arial"/>
        </w:rPr>
        <w:fldChar w:fldCharType="end"/>
      </w:r>
      <w:r w:rsidRPr="00504B2C">
        <w:rPr>
          <w:rFonts w:eastAsia="Calibri" w:cs="Arial"/>
        </w:rPr>
        <w:t xml:space="preserve"> (Digit Symbol, Digit Span Backward, Symbol Search, Letter-Number Sequencing, Block Design &amp; Matrix Reasoning) were used. g-memory was derived from five subtests from the WMS-III</w:t>
      </w:r>
      <w:r w:rsidRPr="00504B2C">
        <w:rPr>
          <w:rFonts w:eastAsia="Calibri" w:cs="Arial"/>
          <w:vertAlign w:val="superscript"/>
        </w:rPr>
        <w:t>UK</w:t>
      </w:r>
      <w:r w:rsidRPr="00504B2C">
        <w:rPr>
          <w:rFonts w:eastAsia="Calibri" w:cs="Arial"/>
        </w:rPr>
        <w:t xml:space="preserve"> </w:t>
      </w:r>
      <w:r w:rsidR="00CB6193">
        <w:rPr>
          <w:rFonts w:eastAsia="Calibri" w:cs="Arial"/>
        </w:rPr>
        <w:fldChar w:fldCharType="begin"/>
      </w:r>
      <w:r w:rsidR="001544FE">
        <w:rPr>
          <w:rFonts w:eastAsia="Calibri" w:cs="Arial"/>
        </w:rPr>
        <w:instrText xml:space="preserve"> ADDIN REFMGR.CITE &lt;Refman&gt;&lt;Cite&gt;&lt;Author&gt;Wechsler&lt;/Author&gt;&lt;Year&gt;1997&lt;/Year&gt;&lt;RecNum&gt;9087&lt;/RecNum&gt;&lt;IDText&gt;WMS-III: Wechsler memory scale administration and scoring manual&lt;/IDText&gt;&lt;MDL Ref_Type="Book, Whole"&gt;&lt;Ref_Type&gt;Book, Whole&lt;/Ref_Type&gt;&lt;Ref_ID&gt;9087&lt;/Ref_ID&gt;&lt;Title_Primary&gt;WMS-III: Wechsler memory scale administration and scoring manual&lt;/Title_Primary&gt;&lt;Authors_Primary&gt;Wechsler,D.&lt;/Authors_Primary&gt;&lt;Date_Primary&gt;1997&lt;/Date_Primary&gt;&lt;Keywords&gt;Memory&lt;/Keywords&gt;&lt;Keywords&gt;and&lt;/Keywords&gt;&lt;Keywords&gt;Adult&lt;/Keywords&gt;&lt;Keywords&gt;Intelligence&lt;/Keywords&gt;&lt;Reprint&gt;Not in File&lt;/Reprint&gt;&lt;Start_Page&gt;1&lt;/Start_Page&gt;&lt;End_Page&gt;212&lt;/End_Page&gt;&lt;Pub_Place&gt;London&lt;/Pub_Place&gt;&lt;Publisher&gt;Psychological Corporation&lt;/Publisher&gt;&lt;ZZ_WorkformID&gt;2&lt;/ZZ_WorkformID&gt;&lt;/MDL&gt;&lt;/Cite&gt;&lt;/Refman&gt;</w:instrText>
      </w:r>
      <w:r w:rsidR="00CB6193">
        <w:rPr>
          <w:rFonts w:eastAsia="Calibri" w:cs="Arial"/>
        </w:rPr>
        <w:fldChar w:fldCharType="separate"/>
      </w:r>
      <w:r w:rsidR="00547674">
        <w:rPr>
          <w:rFonts w:eastAsia="Calibri" w:cs="Arial"/>
          <w:noProof/>
        </w:rPr>
        <w:t>(16)</w:t>
      </w:r>
      <w:r w:rsidR="00CB6193">
        <w:rPr>
          <w:rFonts w:eastAsia="Calibri" w:cs="Arial"/>
        </w:rPr>
        <w:fldChar w:fldCharType="end"/>
      </w:r>
      <w:r w:rsidRPr="00504B2C">
        <w:rPr>
          <w:rFonts w:eastAsia="Calibri" w:cs="Arial"/>
        </w:rPr>
        <w:t xml:space="preserve"> (Logical Memory Total Immediate &amp; Delayed Recall, Verbal Paired Associates Immediate &amp; Delayed Recall, &amp; Spatial Span Total Score) and two subtests from the WAIS-III</w:t>
      </w:r>
      <w:r w:rsidRPr="00504B2C">
        <w:rPr>
          <w:rFonts w:eastAsia="Calibri" w:cs="Arial"/>
          <w:vertAlign w:val="superscript"/>
        </w:rPr>
        <w:t>UK</w:t>
      </w:r>
      <w:r w:rsidRPr="00504B2C">
        <w:rPr>
          <w:rFonts w:eastAsia="Calibri" w:cs="Arial"/>
        </w:rPr>
        <w:t xml:space="preserve"> (Letter-Number Sequencing &amp; Digit Span Backward). g-speed was obtained from two reaction time tests (Simple Reaction Time &amp; Choice Reaction Time), an Inspection Time test</w:t>
      </w:r>
      <w:r w:rsidR="00CB6193">
        <w:rPr>
          <w:rFonts w:eastAsia="Calibri" w:cs="Arial"/>
        </w:rPr>
        <w:fldChar w:fldCharType="begin">
          <w:fldData xml:space="preserve">PFJlZm1hbj48Q2l0ZT48QXV0aG9yPkRlYXJ5PC9BdXRob3I+PFllYXI+MjAwNzwvWWVhcj48UmVj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</w:fldData>
        </w:fldChar>
      </w:r>
      <w:r w:rsidR="001544FE">
        <w:rPr>
          <w:rFonts w:eastAsia="Calibri" w:cs="Arial"/>
        </w:rPr>
        <w:instrText xml:space="preserve"> ADDIN REFMGR.CITE </w:instrText>
      </w:r>
      <w:r w:rsidR="001544FE">
        <w:rPr>
          <w:rFonts w:eastAsia="Calibri" w:cs="Arial"/>
        </w:rPr>
        <w:fldChar w:fldCharType="begin">
          <w:fldData xml:space="preserve">PFJlZm1hbj48Q2l0ZT48QXV0aG9yPkRlYXJ5PC9BdXRob3I+PFllYXI+MjAwNzwvWWVhcj48UmVj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</w:fldData>
        </w:fldChar>
      </w:r>
      <w:r w:rsidR="001544FE">
        <w:rPr>
          <w:rFonts w:eastAsia="Calibri" w:cs="Arial"/>
        </w:rPr>
        <w:instrText xml:space="preserve"> ADDIN EN.CITE.DATA </w:instrText>
      </w:r>
      <w:r w:rsidR="001544FE">
        <w:rPr>
          <w:rFonts w:eastAsia="Calibri" w:cs="Arial"/>
        </w:rPr>
      </w:r>
      <w:r w:rsidR="001544FE">
        <w:rPr>
          <w:rFonts w:eastAsia="Calibri" w:cs="Arial"/>
        </w:rPr>
        <w:fldChar w:fldCharType="end"/>
      </w:r>
      <w:r w:rsidR="00CB6193">
        <w:rPr>
          <w:rFonts w:eastAsia="Calibri" w:cs="Arial"/>
        </w:rPr>
      </w:r>
      <w:r w:rsidR="00CB6193">
        <w:rPr>
          <w:rFonts w:eastAsia="Calibri" w:cs="Arial"/>
        </w:rPr>
        <w:fldChar w:fldCharType="separate"/>
      </w:r>
      <w:r w:rsidR="003C07F6">
        <w:rPr>
          <w:rFonts w:eastAsia="Calibri" w:cs="Arial"/>
          <w:noProof/>
        </w:rPr>
        <w:t>(8)</w:t>
      </w:r>
      <w:r w:rsidR="00CB6193">
        <w:rPr>
          <w:rFonts w:eastAsia="Calibri" w:cs="Arial"/>
        </w:rPr>
        <w:fldChar w:fldCharType="end"/>
      </w:r>
      <w:r w:rsidRPr="00504B2C">
        <w:rPr>
          <w:rFonts w:eastAsia="Calibri" w:cs="Arial"/>
        </w:rPr>
        <w:t>, and two WAIS-III</w:t>
      </w:r>
      <w:r w:rsidRPr="00504B2C">
        <w:rPr>
          <w:rFonts w:eastAsia="Calibri" w:cs="Arial"/>
          <w:vertAlign w:val="superscript"/>
        </w:rPr>
        <w:t>UK</w:t>
      </w:r>
      <w:r w:rsidRPr="00504B2C">
        <w:rPr>
          <w:rFonts w:eastAsia="Calibri" w:cs="Arial"/>
        </w:rPr>
        <w:t xml:space="preserve"> subtests (Digit Symbol &amp; Symbol Search</w:t>
      </w:r>
      <w:r w:rsidRPr="007E70A3">
        <w:rPr>
          <w:rFonts w:eastAsia="Calibri" w:cs="Arial"/>
        </w:rPr>
        <w:t>).</w:t>
      </w:r>
      <w:r w:rsidR="006F5ABA" w:rsidRPr="007E70A3">
        <w:rPr>
          <w:rFonts w:eastAsia="Calibri" w:cs="Arial"/>
        </w:rPr>
        <w:t xml:space="preserve"> Childhood intelligence was derived from scores on the Moray House test taken by the participants at age 11 </w:t>
      </w:r>
      <w:proofErr w:type="gramStart"/>
      <w:r w:rsidR="006F5ABA" w:rsidRPr="007E70A3">
        <w:rPr>
          <w:rFonts w:eastAsia="Calibri" w:cs="Arial"/>
        </w:rPr>
        <w:t>years</w:t>
      </w:r>
      <w:proofErr w:type="gramEnd"/>
      <w:r w:rsidR="00CB6193" w:rsidRPr="007E70A3">
        <w:rPr>
          <w:rFonts w:eastAsia="Calibri" w:cs="Arial"/>
        </w:rPr>
        <w:fldChar w:fldCharType="begin">
          <w:fldData xml:space="preserve">PFJlZm1hbj48Q2l0ZT48QXV0aG9yPkRlYXJ5PC9BdXRob3I+PFllYXI+MjAwNzwvWWVhcj48UmVj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</w:fldData>
        </w:fldChar>
      </w:r>
      <w:r w:rsidR="001544FE">
        <w:rPr>
          <w:rFonts w:eastAsia="Calibri" w:cs="Arial"/>
        </w:rPr>
        <w:instrText xml:space="preserve"> ADDIN REFMGR.CITE </w:instrText>
      </w:r>
      <w:r w:rsidR="001544FE">
        <w:rPr>
          <w:rFonts w:eastAsia="Calibri" w:cs="Arial"/>
        </w:rPr>
        <w:fldChar w:fldCharType="begin">
          <w:fldData xml:space="preserve">PFJlZm1hbj48Q2l0ZT48QXV0aG9yPkRlYXJ5PC9BdXRob3I+PFllYXI+MjAwNzwvWWVhcj48UmVj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</w:fldData>
        </w:fldChar>
      </w:r>
      <w:r w:rsidR="001544FE">
        <w:rPr>
          <w:rFonts w:eastAsia="Calibri" w:cs="Arial"/>
        </w:rPr>
        <w:instrText xml:space="preserve"> ADDIN EN.CITE.DATA </w:instrText>
      </w:r>
      <w:r w:rsidR="001544FE">
        <w:rPr>
          <w:rFonts w:eastAsia="Calibri" w:cs="Arial"/>
        </w:rPr>
      </w:r>
      <w:r w:rsidR="001544FE">
        <w:rPr>
          <w:rFonts w:eastAsia="Calibri" w:cs="Arial"/>
        </w:rPr>
        <w:fldChar w:fldCharType="end"/>
      </w:r>
      <w:r w:rsidR="00CB6193" w:rsidRPr="007E70A3">
        <w:rPr>
          <w:rFonts w:eastAsia="Calibri" w:cs="Arial"/>
        </w:rPr>
      </w:r>
      <w:r w:rsidR="00CB6193" w:rsidRPr="007E70A3">
        <w:rPr>
          <w:rFonts w:eastAsia="Calibri" w:cs="Arial"/>
        </w:rPr>
        <w:fldChar w:fldCharType="separate"/>
      </w:r>
      <w:r w:rsidR="003C07F6">
        <w:rPr>
          <w:rFonts w:eastAsia="Calibri" w:cs="Arial"/>
          <w:noProof/>
        </w:rPr>
        <w:t>(8)</w:t>
      </w:r>
      <w:r w:rsidR="00CB6193" w:rsidRPr="007E70A3">
        <w:rPr>
          <w:rFonts w:eastAsia="Calibri" w:cs="Arial"/>
        </w:rPr>
        <w:fldChar w:fldCharType="end"/>
      </w:r>
      <w:r w:rsidR="006F5ABA" w:rsidRPr="007E70A3">
        <w:rPr>
          <w:rFonts w:eastAsia="Calibri" w:cs="Arial"/>
        </w:rPr>
        <w:t>.</w:t>
      </w:r>
    </w:p>
    <w:p w14:paraId="7A386FBD" w14:textId="77777777" w:rsidR="0028008E" w:rsidRDefault="0028008E" w:rsidP="00504B2C">
      <w:pPr>
        <w:spacing w:before="120" w:after="120" w:line="360" w:lineRule="auto"/>
        <w:rPr>
          <w:b/>
        </w:rPr>
      </w:pPr>
    </w:p>
    <w:p w14:paraId="4AA506C2" w14:textId="77777777" w:rsidR="00BD3A35" w:rsidRDefault="00BD3A35" w:rsidP="00504B2C">
      <w:pPr>
        <w:spacing w:before="120" w:after="120" w:line="360" w:lineRule="auto"/>
        <w:rPr>
          <w:b/>
        </w:rPr>
      </w:pPr>
    </w:p>
    <w:p w14:paraId="38010B68" w14:textId="77777777" w:rsidR="00BD3A35" w:rsidRDefault="00BD3A35" w:rsidP="00504B2C">
      <w:pPr>
        <w:spacing w:before="120" w:after="120" w:line="360" w:lineRule="auto"/>
        <w:rPr>
          <w:b/>
        </w:rPr>
      </w:pPr>
    </w:p>
    <w:p w14:paraId="6223A82F" w14:textId="633878DC" w:rsidR="00661B01" w:rsidRPr="00661B01" w:rsidRDefault="00117E7B" w:rsidP="00504B2C">
      <w:pPr>
        <w:spacing w:before="120" w:after="120" w:line="360" w:lineRule="auto"/>
        <w:rPr>
          <w:b/>
        </w:rPr>
      </w:pPr>
      <w:r>
        <w:rPr>
          <w:b/>
        </w:rPr>
        <w:t xml:space="preserve">2.4 </w:t>
      </w:r>
      <w:r w:rsidR="00661B01" w:rsidRPr="00661B01">
        <w:rPr>
          <w:b/>
        </w:rPr>
        <w:t>Diet</w:t>
      </w:r>
    </w:p>
    <w:p w14:paraId="2042C365" w14:textId="616EA2A3" w:rsidR="00D90263" w:rsidRDefault="008667BD" w:rsidP="00504B2C">
      <w:pPr>
        <w:spacing w:before="120" w:after="120" w:line="360" w:lineRule="auto"/>
        <w:jc w:val="both"/>
      </w:pPr>
      <w:r w:rsidRPr="008667BD">
        <w:t xml:space="preserve">All study participants (n=1091) were asked to complete the </w:t>
      </w:r>
      <w:r w:rsidR="00F361C4" w:rsidRPr="00F361C4">
        <w:t xml:space="preserve">Scottish Collaborative Group Food Frequency Questionnaire </w:t>
      </w:r>
      <w:r w:rsidR="00F361C4">
        <w:t>(</w:t>
      </w:r>
      <w:r w:rsidR="002B57DC">
        <w:t>SCG-</w:t>
      </w:r>
      <w:r w:rsidRPr="008667BD">
        <w:t>FFQ</w:t>
      </w:r>
      <w:r w:rsidR="00F361C4">
        <w:t>)</w:t>
      </w:r>
      <w:r w:rsidRPr="008667BD">
        <w:t xml:space="preserve"> at home and return it by post. Of these, 98 were not returned, 26 were returned blank, and 39 had more than 10 missing items </w:t>
      </w:r>
      <w:r w:rsidR="00E36B1A">
        <w:t>and were</w:t>
      </w:r>
      <w:r w:rsidRPr="008667BD">
        <w:t xml:space="preserve"> therefore excluded from the analyses.</w:t>
      </w:r>
      <w:r>
        <w:t xml:space="preserve"> </w:t>
      </w:r>
      <w:r w:rsidR="005513E3" w:rsidRPr="007E70A3">
        <w:t>Individuals with extreme energy intakes (&lt;2.5</w:t>
      </w:r>
      <w:r w:rsidR="005513E3" w:rsidRPr="007E70A3">
        <w:rPr>
          <w:vertAlign w:val="superscript"/>
        </w:rPr>
        <w:t>th</w:t>
      </w:r>
      <w:r w:rsidR="005513E3" w:rsidRPr="007E70A3">
        <w:t xml:space="preserve"> or &gt;97.5</w:t>
      </w:r>
      <w:r w:rsidR="005513E3" w:rsidRPr="007E70A3">
        <w:rPr>
          <w:vertAlign w:val="superscript"/>
        </w:rPr>
        <w:t>th</w:t>
      </w:r>
      <w:r w:rsidR="0099151F" w:rsidRPr="007E70A3">
        <w:t xml:space="preserve"> centile, n=46</w:t>
      </w:r>
      <w:r w:rsidR="005513E3" w:rsidRPr="007E70A3">
        <w:t>) were also excluded</w:t>
      </w:r>
      <w:r w:rsidR="009A7F2A" w:rsidRPr="007E70A3">
        <w:t xml:space="preserve"> to obtain the most reliable food frequency data</w:t>
      </w:r>
      <w:r w:rsidR="00CB6193" w:rsidRPr="007E70A3">
        <w:fldChar w:fldCharType="begin"/>
      </w:r>
      <w:r w:rsidR="001544FE">
        <w:instrText xml:space="preserve"> ADDIN REFMGR.CITE &lt;Refman&gt;&lt;Cite&gt;&lt;Author&gt;Jia&lt;/Author&gt;&lt;Year&gt;2008&lt;/Year&gt;&lt;RecNum&gt;21591&lt;/RecNum&gt;&lt;IDText&gt;Repeatability and validity of a food frequency questionnaire in free-living older people in relation to cognitive function&lt;/IDText&gt;&lt;MDL Ref_Type="Journal"&gt;&lt;Ref_Type&gt;Journal&lt;/Ref_Type&gt;&lt;Ref_ID&gt;21591&lt;/Ref_ID&gt;&lt;Title_Primary&gt;Repeatability and validity of a food frequency questionnaire in free-living older people in relation to cognitive function&lt;/Title_Primary&gt;&lt;Authors_Primary&gt;Jia,X.&lt;/Authors_Primary&gt;&lt;Authors_Primary&gt;Craig,L.C.A.&lt;/Authors_Primary&gt;&lt;Authors_Primary&gt;Aucott,L.S.&lt;/Authors_Primary&gt;&lt;Authors_Primary&gt;Milne,A.C.&lt;/Authors_Primary&gt;&lt;Authors_Primary&gt;McNeill,G.&lt;/Authors_Primary&gt;&lt;Date_Primary&gt;2008/12/1&lt;/Date_Primary&gt;&lt;Keywords&gt;and&lt;/Keywords&gt;&lt;Keywords&gt;of&lt;/Keywords&gt;&lt;Keywords&gt;Food&lt;/Keywords&gt;&lt;Keywords&gt;COGNITIVE FUNCTION&lt;/Keywords&gt;&lt;Reprint&gt;Not in File&lt;/Reprint&gt;&lt;Start_Page&gt;735&lt;/Start_Page&gt;&lt;End_Page&gt;741&lt;/End_Page&gt;&lt;Periodical&gt;J Nutr Health Aging&lt;/Periodical&gt;&lt;Volume&gt;12&lt;/Volume&gt;&lt;Issue&gt;10&lt;/Issue&gt;&lt;ZZ_JournalFull&gt;&lt;f name="System"&gt;J Nutr Health Aging&lt;/f&gt;&lt;/ZZ_JournalFull&gt;&lt;ZZ_WorkformID&gt;1&lt;/ZZ_WorkformID&gt;&lt;/MDL&gt;&lt;/Cite&gt;&lt;/Refman&gt;</w:instrText>
      </w:r>
      <w:r w:rsidR="00CB6193" w:rsidRPr="007E70A3">
        <w:fldChar w:fldCharType="separate"/>
      </w:r>
      <w:r w:rsidR="00547674">
        <w:rPr>
          <w:noProof/>
        </w:rPr>
        <w:t>(17)</w:t>
      </w:r>
      <w:r w:rsidR="00CB6193" w:rsidRPr="007E70A3">
        <w:fldChar w:fldCharType="end"/>
      </w:r>
      <w:r w:rsidR="009A7F2A" w:rsidRPr="007E70A3">
        <w:t>.</w:t>
      </w:r>
      <w:r w:rsidR="009A7F2A">
        <w:t xml:space="preserve"> </w:t>
      </w:r>
      <w:r w:rsidR="002B57DC">
        <w:t>The SCG-</w:t>
      </w:r>
      <w:r w:rsidR="00746857">
        <w:t>FFQ is a self-report instrument</w:t>
      </w:r>
      <w:r w:rsidR="0060325B">
        <w:t xml:space="preserve"> validated for older adults</w:t>
      </w:r>
      <w:r w:rsidR="00CB6193">
        <w:fldChar w:fldCharType="begin"/>
      </w:r>
      <w:r w:rsidR="001544FE">
        <w:instrText xml:space="preserve"> ADDIN REFMGR.CITE &lt;Refman&gt;&lt;Cite&gt;&lt;Author&gt;Jia&lt;/Author&gt;&lt;Year&gt;2008&lt;/Year&gt;&lt;RecNum&gt;21591&lt;/RecNum&gt;&lt;IDText&gt;Repeatability and validity of a food frequency questionnaire in free-living older people in relation to cognitive function&lt;/IDText&gt;&lt;MDL Ref_Type="Journal"&gt;&lt;Ref_Type&gt;Journal&lt;/Ref_Type&gt;&lt;Ref_ID&gt;21591&lt;/Ref_ID&gt;&lt;Title_Primary&gt;Repeatability and validity of a food frequency questionnaire in free-living older people in relation to cognitive function&lt;/Title_Primary&gt;&lt;Authors_Primary&gt;Jia,X.&lt;/Authors_Primary&gt;&lt;Authors_Primary&gt;Craig,L.C.A.&lt;/Authors_Primary&gt;&lt;Authors_Primary&gt;Aucott,L.S.&lt;/Authors_Primary&gt;&lt;Authors_Primary&gt;Milne,A.C.&lt;/Authors_Primary&gt;&lt;Authors_Primary&gt;McNeill,G.&lt;/Authors_Primary&gt;&lt;Date_Primary&gt;2008/12/1&lt;/Date_Primary&gt;&lt;Keywords&gt;and&lt;/Keywords&gt;&lt;Keywords&gt;of&lt;/Keywords&gt;&lt;Keywords&gt;Food&lt;/Keywords&gt;&lt;Keywords&gt;COGNITIVE FUNCTION&lt;/Keywords&gt;&lt;Reprint&gt;Not in File&lt;/Reprint&gt;&lt;Start_Page&gt;735&lt;/Start_Page&gt;&lt;End_Page&gt;741&lt;/End_Page&gt;&lt;Periodical&gt;J Nutr Health Aging&lt;/Periodical&gt;&lt;Volume&gt;12&lt;/Volume&gt;&lt;Issue&gt;10&lt;/Issue&gt;&lt;ZZ_JournalFull&gt;&lt;f name="System"&gt;J Nutr Health Aging&lt;/f&gt;&lt;/ZZ_JournalFull&gt;&lt;ZZ_WorkformID&gt;1&lt;/ZZ_WorkformID&gt;&lt;/MDL&gt;&lt;/Cite&gt;&lt;/Refman&gt;</w:instrText>
      </w:r>
      <w:r w:rsidR="00CB6193">
        <w:fldChar w:fldCharType="separate"/>
      </w:r>
      <w:r w:rsidR="00547674">
        <w:rPr>
          <w:noProof/>
        </w:rPr>
        <w:t>(17)</w:t>
      </w:r>
      <w:r w:rsidR="00CB6193">
        <w:fldChar w:fldCharType="end"/>
      </w:r>
      <w:r w:rsidR="00821B6C">
        <w:t>, where</w:t>
      </w:r>
      <w:r w:rsidR="0060325B">
        <w:t xml:space="preserve"> </w:t>
      </w:r>
      <w:r w:rsidR="00821B6C">
        <w:t>r</w:t>
      </w:r>
      <w:r w:rsidR="0060325B">
        <w:t xml:space="preserve">espondents rate the frequency of consumption of standard portions of </w:t>
      </w:r>
      <w:r w:rsidR="00821B6C">
        <w:t xml:space="preserve">175 </w:t>
      </w:r>
      <w:r w:rsidR="00746857">
        <w:t xml:space="preserve">different </w:t>
      </w:r>
      <w:r w:rsidR="00821B6C">
        <w:t>foods and drinks</w:t>
      </w:r>
      <w:r w:rsidR="0060325B">
        <w:t xml:space="preserve"> over the last 2-3 months (rarely/never, 1-3 per month, 1 per week, 2-3 per week, 4-6 per week, 1 per day, 2-3 per day, 4-6 per day or 7+ per day) and responses are used to estimate typical micro and macro nutrient intakes. </w:t>
      </w:r>
      <w:r w:rsidR="00746857">
        <w:t xml:space="preserve">For this study, </w:t>
      </w:r>
      <w:r w:rsidR="00622DB0">
        <w:t>c</w:t>
      </w:r>
      <w:r w:rsidR="00297C1B">
        <w:t>onsumption (g</w:t>
      </w:r>
      <w:r w:rsidR="00622DB0" w:rsidRPr="00622DB0">
        <w:t xml:space="preserve">/day) of specific foods with high iodine content was </w:t>
      </w:r>
      <w:r w:rsidR="00622DB0" w:rsidRPr="003128AF">
        <w:t>extracted (</w:t>
      </w:r>
      <w:r w:rsidR="007E70A3" w:rsidRPr="003128AF">
        <w:t>i.e</w:t>
      </w:r>
      <w:r w:rsidR="00622DB0" w:rsidRPr="003128AF">
        <w:t xml:space="preserve">. milk, other dairy, </w:t>
      </w:r>
      <w:r w:rsidR="00741EA2" w:rsidRPr="003128AF">
        <w:t>fish (white, oily, canned and fish products), shellfish</w:t>
      </w:r>
      <w:r w:rsidR="00622DB0" w:rsidRPr="003128AF">
        <w:t>)</w:t>
      </w:r>
      <w:r w:rsidR="006F5ABA" w:rsidRPr="003128AF">
        <w:t xml:space="preserve">, and the </w:t>
      </w:r>
      <w:r w:rsidR="007E70A3" w:rsidRPr="003128AF">
        <w:t>habitual</w:t>
      </w:r>
      <w:r w:rsidR="006F5ABA" w:rsidRPr="003128AF">
        <w:t xml:space="preserve"> daily</w:t>
      </w:r>
      <w:r w:rsidR="006F5ABA">
        <w:t xml:space="preserve"> intake of iodine was calculated</w:t>
      </w:r>
      <w:r w:rsidR="00622DB0" w:rsidRPr="00622DB0">
        <w:t>.</w:t>
      </w:r>
      <w:r w:rsidR="00622DB0">
        <w:t xml:space="preserve"> </w:t>
      </w:r>
      <w:r w:rsidR="00BF690F">
        <w:t xml:space="preserve">Intake of dietary supplements was also reported. </w:t>
      </w:r>
      <w:r w:rsidR="00850C03">
        <w:t xml:space="preserve">To assess the ability of the SCG-FFQ in estimating iodine intake, </w:t>
      </w:r>
      <w:r w:rsidR="00850C03" w:rsidRPr="00850C03">
        <w:t xml:space="preserve">a separate </w:t>
      </w:r>
      <w:r w:rsidR="00850C03">
        <w:t>dietary assessment was carried out: i</w:t>
      </w:r>
      <w:r w:rsidR="00850C03" w:rsidRPr="00850C03">
        <w:t xml:space="preserve">odine intakes estimated after 50 Scottish participants completed the SCG FFQ </w:t>
      </w:r>
      <w:r w:rsidR="00850C03">
        <w:t xml:space="preserve">were compared with </w:t>
      </w:r>
      <w:r w:rsidR="00850C03" w:rsidRPr="00850C03">
        <w:t>4-day diet records and excretion of iodine in 24</w:t>
      </w:r>
      <w:r w:rsidR="00850C03">
        <w:t xml:space="preserve"> </w:t>
      </w:r>
      <w:r w:rsidR="00850C03" w:rsidRPr="00850C03">
        <w:t xml:space="preserve">hour urine samples. Urinary iodine was calculated employing </w:t>
      </w:r>
      <w:proofErr w:type="gramStart"/>
      <w:r w:rsidR="00850C03" w:rsidRPr="00850C03">
        <w:t>a</w:t>
      </w:r>
      <w:proofErr w:type="gramEnd"/>
      <w:r w:rsidR="00850C03" w:rsidRPr="00850C03">
        <w:t xml:space="preserve"> ISO9000 accredited </w:t>
      </w:r>
      <w:r w:rsidR="00850C03">
        <w:t>laboratory and mass spectrometry</w:t>
      </w:r>
      <w:r w:rsidR="00850C03" w:rsidRPr="00850C03">
        <w:t xml:space="preserve">. There was </w:t>
      </w:r>
      <w:r w:rsidR="00741EA2">
        <w:t>moderate</w:t>
      </w:r>
      <w:r w:rsidR="00D90263">
        <w:t xml:space="preserve"> / fair</w:t>
      </w:r>
      <w:r w:rsidR="00850C03" w:rsidRPr="00850C03">
        <w:t xml:space="preserve"> agreement between the SCG FFQ and dietary records (</w:t>
      </w:r>
      <w:proofErr w:type="spellStart"/>
      <w:r w:rsidR="00850C03" w:rsidRPr="00850C03">
        <w:t>r</w:t>
      </w:r>
      <w:r w:rsidR="00D90263" w:rsidRPr="00D90263">
        <w:rPr>
          <w:vertAlign w:val="subscript"/>
        </w:rPr>
        <w:t>s</w:t>
      </w:r>
      <w:proofErr w:type="spellEnd"/>
      <w:r w:rsidR="00850C03" w:rsidRPr="00850C03">
        <w:t>=0.488</w:t>
      </w:r>
      <w:r w:rsidR="00D90263">
        <w:t>,</w:t>
      </w:r>
      <w:r w:rsidR="00741EA2">
        <w:t xml:space="preserve"> </w:t>
      </w:r>
      <w:proofErr w:type="gramStart"/>
      <w:r w:rsidR="00D90263">
        <w:t>k</w:t>
      </w:r>
      <w:r w:rsidR="00D90263" w:rsidRPr="00D90263">
        <w:rPr>
          <w:vertAlign w:val="subscript"/>
        </w:rPr>
        <w:t>w</w:t>
      </w:r>
      <w:r w:rsidR="00D90263">
        <w:t>=</w:t>
      </w:r>
      <w:proofErr w:type="gramEnd"/>
      <w:r w:rsidR="00D90263">
        <w:t xml:space="preserve">0.222, </w:t>
      </w:r>
      <w:r w:rsidR="00741EA2">
        <w:t xml:space="preserve">with </w:t>
      </w:r>
      <w:r w:rsidR="00D90263">
        <w:t xml:space="preserve">low (16%) gross misclassification to the opposite </w:t>
      </w:r>
      <w:proofErr w:type="spellStart"/>
      <w:r w:rsidR="00D90263">
        <w:t>tertile</w:t>
      </w:r>
      <w:proofErr w:type="spellEnd"/>
      <w:r w:rsidR="00D90263">
        <w:t>). T</w:t>
      </w:r>
      <w:r w:rsidR="00D90263" w:rsidRPr="00850C03">
        <w:t xml:space="preserve">he </w:t>
      </w:r>
      <w:r w:rsidR="00D90263">
        <w:t xml:space="preserve">agreement between </w:t>
      </w:r>
      <w:r w:rsidR="00D90263" w:rsidRPr="00850C03">
        <w:t xml:space="preserve">SCG FFQ and </w:t>
      </w:r>
      <w:r w:rsidR="00D90263">
        <w:t xml:space="preserve">urinary excretion was weaker </w:t>
      </w:r>
      <w:r w:rsidR="00D90263" w:rsidRPr="00850C03">
        <w:t>(</w:t>
      </w:r>
      <w:proofErr w:type="spellStart"/>
      <w:r w:rsidR="00D90263" w:rsidRPr="00850C03">
        <w:t>r</w:t>
      </w:r>
      <w:r w:rsidR="00D90263" w:rsidRPr="00D90263">
        <w:rPr>
          <w:vertAlign w:val="subscript"/>
        </w:rPr>
        <w:t>s</w:t>
      </w:r>
      <w:proofErr w:type="spellEnd"/>
      <w:r w:rsidR="00D90263" w:rsidRPr="00850C03">
        <w:t>=0.</w:t>
      </w:r>
      <w:r w:rsidR="00D90263">
        <w:t xml:space="preserve">329, with low (18%) gross misclassification to the opposite </w:t>
      </w:r>
      <w:proofErr w:type="spellStart"/>
      <w:r w:rsidR="00D90263">
        <w:t>tertile</w:t>
      </w:r>
      <w:proofErr w:type="spellEnd"/>
      <w:r w:rsidR="00D90263">
        <w:t xml:space="preserve">). </w:t>
      </w:r>
    </w:p>
    <w:p w14:paraId="20B582BF" w14:textId="4E7128F8" w:rsidR="0052701F" w:rsidRDefault="00835B77" w:rsidP="00504B2C">
      <w:pPr>
        <w:spacing w:before="120" w:after="120" w:line="360" w:lineRule="auto"/>
        <w:jc w:val="both"/>
      </w:pPr>
      <w:r w:rsidRPr="00B23F8C">
        <w:t>With the assumption that extreme</w:t>
      </w:r>
      <w:r w:rsidR="00D90263">
        <w:t>, or very specific,</w:t>
      </w:r>
      <w:r w:rsidRPr="00B23F8C">
        <w:t xml:space="preserve"> consumption patterns are likely to </w:t>
      </w:r>
      <w:r w:rsidR="00B23F8C">
        <w:t xml:space="preserve">express a trait possibly </w:t>
      </w:r>
      <w:r w:rsidR="00D90263">
        <w:t>reflecting the long term intake of specific nutrients</w:t>
      </w:r>
      <w:r w:rsidRPr="00B23F8C">
        <w:t xml:space="preserve">, </w:t>
      </w:r>
      <w:r w:rsidR="00A54616" w:rsidRPr="00B23F8C">
        <w:t>we specifically focus</w:t>
      </w:r>
      <w:r w:rsidR="00A3076C" w:rsidRPr="00B23F8C">
        <w:t xml:space="preserve"> on </w:t>
      </w:r>
      <w:r w:rsidR="001D42F5" w:rsidRPr="00B23F8C">
        <w:t xml:space="preserve">groups representing </w:t>
      </w:r>
      <w:r w:rsidR="00880B38" w:rsidRPr="00B23F8C">
        <w:t xml:space="preserve">opposite ends of the iodine intake </w:t>
      </w:r>
      <w:r w:rsidR="00D90263">
        <w:t>spectrum</w:t>
      </w:r>
      <w:r w:rsidR="00880B38" w:rsidRPr="00B23F8C">
        <w:t>: low iodine consumers (those with low intakes of dairy foods and fish</w:t>
      </w:r>
      <w:r w:rsidR="00E05A2E" w:rsidRPr="00B23F8C">
        <w:t>, and dairy avoiders</w:t>
      </w:r>
      <w:r w:rsidR="00880B38" w:rsidRPr="00B23F8C">
        <w:t xml:space="preserve">) and </w:t>
      </w:r>
      <w:r w:rsidR="00E05A2E" w:rsidRPr="00B23F8C">
        <w:t>moderate-</w:t>
      </w:r>
      <w:r w:rsidR="00880B38" w:rsidRPr="00B23F8C">
        <w:t xml:space="preserve">high iodine consumers (those with </w:t>
      </w:r>
      <w:r w:rsidR="00E05A2E" w:rsidRPr="00B23F8C">
        <w:t xml:space="preserve">medium or </w:t>
      </w:r>
      <w:r w:rsidR="00880B38" w:rsidRPr="00B23F8C">
        <w:t xml:space="preserve">high intakes of dairy foods and fish). </w:t>
      </w:r>
      <w:r w:rsidR="0052701F">
        <w:t xml:space="preserve"> </w:t>
      </w:r>
    </w:p>
    <w:p w14:paraId="1D2F20DD" w14:textId="77777777" w:rsidR="00B23F8C" w:rsidRDefault="00B23F8C" w:rsidP="00504B2C">
      <w:pPr>
        <w:spacing w:before="120" w:after="120" w:line="360" w:lineRule="auto"/>
        <w:jc w:val="both"/>
      </w:pPr>
    </w:p>
    <w:p w14:paraId="6E65AAFB" w14:textId="77777777" w:rsidR="008667BD" w:rsidRDefault="00590C1D" w:rsidP="008667BD">
      <w:pPr>
        <w:spacing w:before="120" w:after="120" w:line="360" w:lineRule="auto"/>
      </w:pPr>
      <w:r>
        <w:t>For the purpose of the analyse</w:t>
      </w:r>
      <w:r w:rsidR="008667BD">
        <w:t>s, the following contrasting groups were formed:</w:t>
      </w:r>
    </w:p>
    <w:p w14:paraId="4D5D57F8" w14:textId="77777777" w:rsidR="008667BD" w:rsidRPr="00B23F8C" w:rsidRDefault="00A54616" w:rsidP="008667BD">
      <w:pPr>
        <w:pStyle w:val="ListParagraph"/>
        <w:numPr>
          <w:ilvl w:val="0"/>
          <w:numId w:val="1"/>
        </w:numPr>
        <w:spacing w:before="120" w:after="120" w:line="360" w:lineRule="auto"/>
      </w:pPr>
      <w:r>
        <w:t xml:space="preserve">Group </w:t>
      </w:r>
      <w:r w:rsidRPr="00B23F8C">
        <w:t xml:space="preserve">A (low intake of dairy and fish): </w:t>
      </w:r>
      <w:r w:rsidR="008667BD" w:rsidRPr="00B23F8C">
        <w:t>Those in the lowest quintile for dairy consumption (less than 151 gram per day) and the lowest two quintiles for fish consumption (less than 37 g per day)</w:t>
      </w:r>
    </w:p>
    <w:p w14:paraId="11049771" w14:textId="77777777" w:rsidR="008667BD" w:rsidRPr="00B23F8C" w:rsidRDefault="008667BD" w:rsidP="008667BD">
      <w:pPr>
        <w:pStyle w:val="ListParagraph"/>
        <w:numPr>
          <w:ilvl w:val="0"/>
          <w:numId w:val="1"/>
        </w:numPr>
        <w:spacing w:before="120" w:after="120" w:line="360" w:lineRule="auto"/>
      </w:pPr>
      <w:r w:rsidRPr="00B23F8C">
        <w:lastRenderedPageBreak/>
        <w:t>Group B</w:t>
      </w:r>
      <w:r w:rsidR="00A54616" w:rsidRPr="00B23F8C">
        <w:t xml:space="preserve"> (dairy avoiders)</w:t>
      </w:r>
      <w:r w:rsidRPr="00B23F8C">
        <w:t>: Those never consuming any milk, and not belonging to group A, C or D.</w:t>
      </w:r>
    </w:p>
    <w:p w14:paraId="7832956D" w14:textId="77777777" w:rsidR="008667BD" w:rsidRPr="00B23F8C" w:rsidRDefault="008667BD" w:rsidP="008667BD">
      <w:pPr>
        <w:pStyle w:val="ListParagraph"/>
        <w:numPr>
          <w:ilvl w:val="0"/>
          <w:numId w:val="1"/>
        </w:numPr>
        <w:spacing w:before="120" w:after="120" w:line="360" w:lineRule="auto"/>
      </w:pPr>
      <w:r w:rsidRPr="00B23F8C">
        <w:t>Group C</w:t>
      </w:r>
      <w:r w:rsidR="00A54616" w:rsidRPr="00B23F8C">
        <w:t xml:space="preserve"> (medium intake of dairy and fish)</w:t>
      </w:r>
      <w:r w:rsidRPr="00B23F8C">
        <w:t>: Those in the middle quintile for dairy consumption (204 to 320 g per day) and quintiles 3 and 4 for fish consumption (37 to 50 g per day)</w:t>
      </w:r>
    </w:p>
    <w:p w14:paraId="479B6C76" w14:textId="77777777" w:rsidR="008667BD" w:rsidRPr="00B23F8C" w:rsidRDefault="008667BD" w:rsidP="008667BD">
      <w:pPr>
        <w:pStyle w:val="ListParagraph"/>
        <w:numPr>
          <w:ilvl w:val="0"/>
          <w:numId w:val="1"/>
        </w:numPr>
        <w:spacing w:before="120" w:after="120" w:line="360" w:lineRule="auto"/>
      </w:pPr>
      <w:r w:rsidRPr="00B23F8C">
        <w:t>Group D</w:t>
      </w:r>
      <w:r w:rsidR="00A54616" w:rsidRPr="00B23F8C">
        <w:t xml:space="preserve"> (high intake of dairy and fish)</w:t>
      </w:r>
      <w:r w:rsidRPr="00B23F8C">
        <w:t>: Those in the highest quintile for dairy and fish consumption (over 432 g and 50 g per day, respectively)</w:t>
      </w:r>
    </w:p>
    <w:p w14:paraId="309CBA11" w14:textId="4311D789" w:rsidR="00622DB0" w:rsidRDefault="006F5ABA" w:rsidP="00622DB0">
      <w:pPr>
        <w:spacing w:before="120" w:after="120" w:line="360" w:lineRule="auto"/>
      </w:pPr>
      <w:r w:rsidRPr="00B23F8C">
        <w:t xml:space="preserve">For these individuals, </w:t>
      </w:r>
      <w:r w:rsidR="00622DB0" w:rsidRPr="00B23F8C">
        <w:t>energy</w:t>
      </w:r>
      <w:r w:rsidR="00297C1B" w:rsidRPr="00B23F8C">
        <w:t xml:space="preserve"> (KJ/day)</w:t>
      </w:r>
      <w:r w:rsidR="00622DB0" w:rsidRPr="00B23F8C">
        <w:t>, fat</w:t>
      </w:r>
      <w:r w:rsidR="00297C1B" w:rsidRPr="00B23F8C">
        <w:t xml:space="preserve"> (g/day)</w:t>
      </w:r>
      <w:r w:rsidR="00622DB0" w:rsidRPr="00B23F8C">
        <w:t>, proteins</w:t>
      </w:r>
      <w:r w:rsidR="00297C1B" w:rsidRPr="00B23F8C">
        <w:t xml:space="preserve"> (g/day)</w:t>
      </w:r>
      <w:r w:rsidR="00622DB0" w:rsidRPr="00B23F8C">
        <w:t>, cholesterol</w:t>
      </w:r>
      <w:r w:rsidR="00297C1B" w:rsidRPr="00B23F8C">
        <w:t xml:space="preserve"> (g/day)</w:t>
      </w:r>
      <w:r w:rsidR="00622DB0" w:rsidRPr="00B23F8C">
        <w:t xml:space="preserve">, saturated fats </w:t>
      </w:r>
      <w:r w:rsidR="00297C1B" w:rsidRPr="00B23F8C">
        <w:t xml:space="preserve">(g/day) </w:t>
      </w:r>
      <w:r w:rsidR="00622DB0" w:rsidRPr="00B23F8C">
        <w:t xml:space="preserve">and sodium </w:t>
      </w:r>
      <w:r w:rsidR="00297C1B" w:rsidRPr="00B23F8C">
        <w:t xml:space="preserve">(mg/day) </w:t>
      </w:r>
      <w:r w:rsidRPr="00B23F8C">
        <w:t xml:space="preserve">were </w:t>
      </w:r>
      <w:r w:rsidR="00A84401">
        <w:t>derived from the food frequency questionnaire,</w:t>
      </w:r>
      <w:r w:rsidRPr="00B23F8C">
        <w:t xml:space="preserve"> in addition to the daily intake of iodine</w:t>
      </w:r>
      <w:r w:rsidR="00A84401">
        <w:t>.</w:t>
      </w:r>
    </w:p>
    <w:p w14:paraId="079AF7CB" w14:textId="77777777" w:rsidR="00661B01" w:rsidRDefault="00661B01" w:rsidP="00504B2C">
      <w:pPr>
        <w:spacing w:before="120" w:after="120" w:line="360" w:lineRule="auto"/>
      </w:pPr>
    </w:p>
    <w:p w14:paraId="5F20E383" w14:textId="2EB95787" w:rsidR="00A45314" w:rsidRPr="00A45314" w:rsidRDefault="00117E7B" w:rsidP="00504B2C">
      <w:pPr>
        <w:spacing w:before="120" w:after="120" w:line="360" w:lineRule="auto"/>
        <w:rPr>
          <w:b/>
        </w:rPr>
      </w:pPr>
      <w:r>
        <w:rPr>
          <w:b/>
        </w:rPr>
        <w:t xml:space="preserve">2.5 </w:t>
      </w:r>
      <w:r w:rsidR="002D0152" w:rsidRPr="002D0152">
        <w:rPr>
          <w:b/>
        </w:rPr>
        <w:t>Thyroid function</w:t>
      </w:r>
    </w:p>
    <w:p w14:paraId="0BC4FE59" w14:textId="1BA58260" w:rsidR="00A45314" w:rsidRDefault="00A45314" w:rsidP="009B7EFC">
      <w:pPr>
        <w:spacing w:before="120" w:after="120" w:line="360" w:lineRule="auto"/>
        <w:jc w:val="both"/>
      </w:pPr>
      <w:r>
        <w:t>Thyroid stimulating hormone (TSH)</w:t>
      </w:r>
      <w:r w:rsidR="00C22183">
        <w:t xml:space="preserve"> </w:t>
      </w:r>
      <w:r>
        <w:t>and free thyroxine (f</w:t>
      </w:r>
      <w:r w:rsidR="00121873">
        <w:t xml:space="preserve">ree </w:t>
      </w:r>
      <w:r>
        <w:t>T4) were measured as described in</w:t>
      </w:r>
      <w:r w:rsidR="00DC51D5">
        <w:t xml:space="preserve"> </w:t>
      </w:r>
      <w:r w:rsidR="00CB6193">
        <w:fldChar w:fldCharType="begin"/>
      </w:r>
      <w:r w:rsidR="001544FE">
        <w:instrText xml:space="preserve"> ADDIN REFMGR.CITE &lt;Refman&gt;&lt;Cite&gt;&lt;Author&gt;Booth&lt;/Author&gt;&lt;Year&gt;2013&lt;/Year&gt;&lt;RecNum&gt;21592&lt;/RecNum&gt;&lt;IDText&gt;Thyroid stimulating hormone, free thyroxine and cognitive ability in old age: The Lothian birth cohort study 1936&lt;/IDText&gt;&lt;MDL Ref_Type="Journal"&gt;&lt;Ref_Type&gt;Journal&lt;/Ref_Type&gt;&lt;Ref_ID&gt;21592&lt;/Ref_ID&gt;&lt;Title_Primary&gt;&lt;f name="Times New Roman"&gt;Thyroid stimulating hormone, free thyroxine and cognitive ability in old age: The Lothian birth cohort study 1936&lt;/f&gt;&lt;/Title_Primary&gt;&lt;Authors_Primary&gt;Booth,T.&lt;/Authors_Primary&gt;&lt;Authors_Primary&gt;Deary,I.J.&lt;/Authors_Primary&gt;&lt;Authors_Primary&gt;Starr,J.M.&lt;/Authors_Primary&gt;&lt;Date_Primary&gt;2013/4/1&lt;/Date_Primary&gt;&lt;Keywords&gt;and&lt;/Keywords&gt;&lt;Keywords&gt;cognitive abilities&lt;/Keywords&gt;&lt;Keywords&gt;AGE&lt;/Keywords&gt;&lt;Keywords&gt;Cohort Studies&lt;/Keywords&gt;&lt;Keywords&gt;Study&lt;/Keywords&gt;&lt;Reprint&gt;Not in File&lt;/Reprint&gt;&lt;Start_Page&gt;597&lt;/Start_Page&gt;&lt;End_Page&gt;601&lt;/End_Page&gt;&lt;Periodical&gt;Psychoneuroendocrinology&lt;/Periodical&gt;&lt;Volume&gt;38&lt;/Volume&gt;&lt;Issue&gt;4&lt;/Issue&gt;&lt;ZZ_JournalStdAbbrev&gt;&lt;f name="System"&gt;Psychoneuroendocrinology&lt;/f&gt;&lt;/ZZ_JournalStdAbbrev&gt;&lt;ZZ_WorkformID&gt;1&lt;/ZZ_WorkformID&gt;&lt;/MDL&gt;&lt;/Cite&gt;&lt;/Refman&gt;</w:instrText>
      </w:r>
      <w:r w:rsidR="00CB6193">
        <w:fldChar w:fldCharType="separate"/>
      </w:r>
      <w:r w:rsidR="00547674">
        <w:rPr>
          <w:noProof/>
        </w:rPr>
        <w:t>(18)</w:t>
      </w:r>
      <w:r w:rsidR="00CB6193">
        <w:fldChar w:fldCharType="end"/>
      </w:r>
      <w:r>
        <w:t xml:space="preserve">. </w:t>
      </w:r>
      <w:r w:rsidR="009770C0">
        <w:t>Briefly, analysis were carried out using a two-step immunoassay. The laboratory reference range for TSH</w:t>
      </w:r>
      <w:r w:rsidR="00C22183">
        <w:t xml:space="preserve"> was 0.2 to </w:t>
      </w:r>
      <w:r w:rsidR="009770C0">
        <w:t xml:space="preserve">4.5 </w:t>
      </w:r>
      <w:proofErr w:type="spellStart"/>
      <w:r w:rsidR="009770C0">
        <w:t>mU</w:t>
      </w:r>
      <w:proofErr w:type="spellEnd"/>
      <w:r w:rsidR="009770C0">
        <w:t>/l, with coefficients of variability ranging from 3.0% to 3.5%</w:t>
      </w:r>
      <w:r w:rsidR="00C22183">
        <w:t>, and</w:t>
      </w:r>
      <w:r w:rsidR="009770C0">
        <w:t xml:space="preserve"> </w:t>
      </w:r>
      <w:r w:rsidR="00C22183">
        <w:t>for f</w:t>
      </w:r>
      <w:r w:rsidR="00121873">
        <w:t xml:space="preserve">ree </w:t>
      </w:r>
      <w:r w:rsidR="00C22183">
        <w:t xml:space="preserve">T4 it was 9 to </w:t>
      </w:r>
      <w:r w:rsidR="009770C0">
        <w:t xml:space="preserve">21 </w:t>
      </w:r>
      <w:proofErr w:type="spellStart"/>
      <w:r w:rsidR="009770C0">
        <w:t>pmol</w:t>
      </w:r>
      <w:proofErr w:type="spellEnd"/>
      <w:r w:rsidR="009770C0">
        <w:t>/L, with coefficients of variability ranging from 5.1% to 8.9%.</w:t>
      </w:r>
    </w:p>
    <w:p w14:paraId="1F5E4313" w14:textId="77777777" w:rsidR="00A45314" w:rsidRDefault="00A45314" w:rsidP="00504B2C">
      <w:pPr>
        <w:spacing w:before="120" w:after="120" w:line="360" w:lineRule="auto"/>
      </w:pPr>
    </w:p>
    <w:p w14:paraId="7E3FDFDA" w14:textId="25F59CF3" w:rsidR="00661B01" w:rsidRPr="00661B01" w:rsidRDefault="00117E7B" w:rsidP="00504B2C">
      <w:pPr>
        <w:spacing w:before="120" w:after="120" w:line="360" w:lineRule="auto"/>
        <w:rPr>
          <w:b/>
        </w:rPr>
      </w:pPr>
      <w:r>
        <w:rPr>
          <w:b/>
        </w:rPr>
        <w:t xml:space="preserve">2.6 </w:t>
      </w:r>
      <w:r w:rsidR="00661B01" w:rsidRPr="00661B01">
        <w:rPr>
          <w:b/>
        </w:rPr>
        <w:t>Statistical analysis</w:t>
      </w:r>
    </w:p>
    <w:p w14:paraId="737BB7FC" w14:textId="5EFFB6B2" w:rsidR="008667BD" w:rsidRDefault="003E5EE1" w:rsidP="009B7EFC">
      <w:pPr>
        <w:spacing w:line="360" w:lineRule="auto"/>
        <w:jc w:val="both"/>
        <w:rPr>
          <w:rFonts w:cs="Arial"/>
        </w:rPr>
      </w:pPr>
      <w:r w:rsidRPr="003E5EE1">
        <w:rPr>
          <w:rFonts w:eastAsia="Arial Unicode MS" w:cs="Arial"/>
        </w:rPr>
        <w:t xml:space="preserve">In all analyses, </w:t>
      </w:r>
      <w:r w:rsidRPr="003E5EE1">
        <w:rPr>
          <w:rFonts w:cs="Arial"/>
        </w:rPr>
        <w:t>volumetric MRI data were standardised by head size (i.e. expressed in percentage with respect to the intracranial volume) and adjusted by age in days at the time of the MRI scan. To ex</w:t>
      </w:r>
      <w:r w:rsidR="0099151F">
        <w:rPr>
          <w:rFonts w:cs="Arial"/>
        </w:rPr>
        <w:t xml:space="preserve">amine the associations between </w:t>
      </w:r>
      <w:r w:rsidRPr="003E5EE1">
        <w:rPr>
          <w:rFonts w:cs="Arial"/>
        </w:rPr>
        <w:t>diet and cognition and brain health related indicators</w:t>
      </w:r>
      <w:r w:rsidR="00907512">
        <w:rPr>
          <w:rFonts w:cs="Arial"/>
        </w:rPr>
        <w:t xml:space="preserve"> at older age</w:t>
      </w:r>
      <w:r w:rsidR="00907512" w:rsidRPr="00B23F8C">
        <w:rPr>
          <w:rFonts w:cs="Arial"/>
        </w:rPr>
        <w:t xml:space="preserve">, </w:t>
      </w:r>
      <w:r w:rsidR="00006C1A" w:rsidRPr="00B23F8C">
        <w:rPr>
          <w:rFonts w:cs="Arial"/>
        </w:rPr>
        <w:t xml:space="preserve">and the associations between the haematological parameters that relate to the thyroid function in waves 1 and 2 (i.e. acquired 3 years apart), </w:t>
      </w:r>
      <w:r w:rsidR="00907512" w:rsidRPr="00B23F8C">
        <w:rPr>
          <w:rFonts w:cs="Arial"/>
        </w:rPr>
        <w:t xml:space="preserve">we applied </w:t>
      </w:r>
      <w:r w:rsidR="00290DBF">
        <w:rPr>
          <w:rFonts w:cs="Arial"/>
        </w:rPr>
        <w:t xml:space="preserve">robust </w:t>
      </w:r>
      <w:r w:rsidRPr="00B23F8C">
        <w:rPr>
          <w:rFonts w:cs="Arial"/>
        </w:rPr>
        <w:t xml:space="preserve">univariate regression analysis using iteratively reweighted least squares with a </w:t>
      </w:r>
      <w:proofErr w:type="spellStart"/>
      <w:r w:rsidRPr="00B23F8C">
        <w:rPr>
          <w:rFonts w:cs="Arial"/>
        </w:rPr>
        <w:t>bisquare</w:t>
      </w:r>
      <w:proofErr w:type="spellEnd"/>
      <w:r w:rsidRPr="00B23F8C">
        <w:rPr>
          <w:rFonts w:cs="Arial"/>
        </w:rPr>
        <w:t xml:space="preserve"> weighting function </w:t>
      </w:r>
      <w:r w:rsidR="00DC51D5" w:rsidRPr="00B23F8C">
        <w:rPr>
          <w:rFonts w:cs="Arial"/>
        </w:rPr>
        <w:t xml:space="preserve">from </w:t>
      </w:r>
      <w:r w:rsidRPr="00B23F8C">
        <w:rPr>
          <w:rFonts w:cs="Arial"/>
        </w:rPr>
        <w:t>MA</w:t>
      </w:r>
      <w:r w:rsidR="00DC51D5" w:rsidRPr="00B23F8C">
        <w:rPr>
          <w:rFonts w:cs="Arial"/>
        </w:rPr>
        <w:t>TLAB R2014a Statistical Toolbox</w:t>
      </w:r>
      <w:r w:rsidR="00875C17">
        <w:rPr>
          <w:rFonts w:cs="Arial"/>
        </w:rPr>
        <w:t xml:space="preserve"> and an adding bootstrap, and repeated the analyses without excluding outliers (</w:t>
      </w:r>
      <w:r w:rsidR="007A1E83">
        <w:rPr>
          <w:rFonts w:cs="Arial"/>
        </w:rPr>
        <w:t>ANOVA</w:t>
      </w:r>
      <w:r w:rsidR="00875C17">
        <w:rPr>
          <w:rFonts w:cs="Arial"/>
        </w:rPr>
        <w:t>).</w:t>
      </w:r>
      <w:r w:rsidR="004C1B78" w:rsidRPr="00B23F8C">
        <w:rPr>
          <w:rFonts w:cs="Arial"/>
        </w:rPr>
        <w:t xml:space="preserve"> False Discovery Rate </w:t>
      </w:r>
      <w:r w:rsidR="00625B17">
        <w:rPr>
          <w:rFonts w:cs="Arial"/>
        </w:rPr>
        <w:t xml:space="preserve">(FDR) </w:t>
      </w:r>
      <w:r w:rsidR="004C1B78" w:rsidRPr="00B23F8C">
        <w:rPr>
          <w:rFonts w:cs="Arial"/>
        </w:rPr>
        <w:t>was applied to adjust for multiple comparisons.</w:t>
      </w:r>
      <w:r w:rsidRPr="00B23F8C">
        <w:rPr>
          <w:rFonts w:cs="Arial"/>
        </w:rPr>
        <w:t xml:space="preserve"> </w:t>
      </w:r>
      <w:proofErr w:type="spellStart"/>
      <w:r w:rsidR="00506B7C" w:rsidRPr="00B23F8C">
        <w:rPr>
          <w:rFonts w:cs="Arial"/>
        </w:rPr>
        <w:t>Kruskal</w:t>
      </w:r>
      <w:proofErr w:type="spellEnd"/>
      <w:r w:rsidR="00506B7C" w:rsidRPr="00B23F8C">
        <w:rPr>
          <w:rFonts w:cs="Arial"/>
        </w:rPr>
        <w:t>-Wallis</w:t>
      </w:r>
      <w:r w:rsidR="000D3F43" w:rsidRPr="00B23F8C">
        <w:rPr>
          <w:rFonts w:cs="Arial"/>
        </w:rPr>
        <w:t xml:space="preserve"> </w:t>
      </w:r>
      <w:r w:rsidR="00A34EA3" w:rsidRPr="00B23F8C">
        <w:rPr>
          <w:rFonts w:cs="Arial"/>
        </w:rPr>
        <w:t xml:space="preserve">and Mood’s Median </w:t>
      </w:r>
      <w:r w:rsidR="000D3F43" w:rsidRPr="00B23F8C">
        <w:rPr>
          <w:rFonts w:cs="Arial"/>
        </w:rPr>
        <w:t>test</w:t>
      </w:r>
      <w:r w:rsidR="00A34EA3" w:rsidRPr="00B23F8C">
        <w:rPr>
          <w:rFonts w:cs="Arial"/>
        </w:rPr>
        <w:t>s were</w:t>
      </w:r>
      <w:r w:rsidR="000D3F43" w:rsidRPr="00B23F8C">
        <w:rPr>
          <w:rFonts w:cs="Arial"/>
        </w:rPr>
        <w:t xml:space="preserve"> used to evaluate differences in the cognitive and imaging parameters between the four groups with extreme</w:t>
      </w:r>
      <w:r w:rsidR="00506B7C" w:rsidRPr="00B23F8C">
        <w:rPr>
          <w:rFonts w:cs="Arial"/>
        </w:rPr>
        <w:t>/middle</w:t>
      </w:r>
      <w:r w:rsidR="000D3F43" w:rsidRPr="00B23F8C">
        <w:rPr>
          <w:rFonts w:cs="Arial"/>
        </w:rPr>
        <w:t xml:space="preserve"> levels of iodine consumption. </w:t>
      </w:r>
      <w:r w:rsidR="00907512" w:rsidRPr="00B23F8C">
        <w:rPr>
          <w:rFonts w:cs="Arial"/>
        </w:rPr>
        <w:t>To ex</w:t>
      </w:r>
      <w:r w:rsidR="0000680E" w:rsidRPr="00B23F8C">
        <w:rPr>
          <w:rFonts w:cs="Arial"/>
        </w:rPr>
        <w:t>plore</w:t>
      </w:r>
      <w:r w:rsidR="00907512" w:rsidRPr="00B23F8C">
        <w:rPr>
          <w:rFonts w:cs="Arial"/>
        </w:rPr>
        <w:t xml:space="preserve"> whether childhood intelligence </w:t>
      </w:r>
      <w:r w:rsidR="00D50EE1" w:rsidRPr="00B23F8C">
        <w:rPr>
          <w:rFonts w:cs="Arial"/>
        </w:rPr>
        <w:t>was associated</w:t>
      </w:r>
      <w:r w:rsidR="0099151F" w:rsidRPr="00B23F8C">
        <w:rPr>
          <w:rFonts w:cs="Arial"/>
        </w:rPr>
        <w:t xml:space="preserve"> </w:t>
      </w:r>
      <w:r w:rsidR="00D50EE1" w:rsidRPr="00B23F8C">
        <w:rPr>
          <w:rFonts w:cs="Arial"/>
        </w:rPr>
        <w:t>with</w:t>
      </w:r>
      <w:r w:rsidR="00907512" w:rsidRPr="00B23F8C">
        <w:rPr>
          <w:rFonts w:cs="Arial"/>
        </w:rPr>
        <w:t xml:space="preserve"> dietary iodine consumption at age 72 years</w:t>
      </w:r>
      <w:r w:rsidR="0000680E" w:rsidRPr="00B23F8C">
        <w:rPr>
          <w:rFonts w:cs="Arial"/>
        </w:rPr>
        <w:t xml:space="preserve"> we used a general linear model with age 11 IQ as predictor and iodine </w:t>
      </w:r>
      <w:r w:rsidR="00D30DAE" w:rsidRPr="00B23F8C">
        <w:rPr>
          <w:rFonts w:cs="Arial"/>
        </w:rPr>
        <w:t xml:space="preserve">(extracted from the SCG-FFQ) </w:t>
      </w:r>
      <w:r w:rsidR="0000680E" w:rsidRPr="00B23F8C">
        <w:rPr>
          <w:rFonts w:cs="Arial"/>
        </w:rPr>
        <w:t xml:space="preserve">as the response. </w:t>
      </w:r>
      <w:r w:rsidR="002F1EE2" w:rsidRPr="00B23F8C">
        <w:rPr>
          <w:rFonts w:eastAsia="Arial Unicode MS" w:cs="Arial"/>
        </w:rPr>
        <w:t>Gender at each data collection wave w</w:t>
      </w:r>
      <w:r w:rsidR="00290DBF">
        <w:rPr>
          <w:rFonts w:eastAsia="Arial Unicode MS" w:cs="Arial"/>
        </w:rPr>
        <w:t>as used as covariate</w:t>
      </w:r>
      <w:r w:rsidR="002F1EE2" w:rsidRPr="00B23F8C">
        <w:rPr>
          <w:rFonts w:eastAsia="Arial Unicode MS" w:cs="Arial"/>
        </w:rPr>
        <w:t xml:space="preserve"> in all analyses.</w:t>
      </w:r>
      <w:r w:rsidR="00907512" w:rsidRPr="00B23F8C">
        <w:rPr>
          <w:rFonts w:eastAsia="Arial Unicode MS" w:cs="Arial"/>
        </w:rPr>
        <w:t xml:space="preserve"> </w:t>
      </w:r>
      <w:r w:rsidR="0000680E" w:rsidRPr="00B23F8C">
        <w:rPr>
          <w:rFonts w:eastAsia="Arial Unicode MS" w:cs="Arial"/>
        </w:rPr>
        <w:t>All</w:t>
      </w:r>
      <w:r w:rsidR="0000680E">
        <w:rPr>
          <w:rFonts w:eastAsia="Arial Unicode MS" w:cs="Arial"/>
        </w:rPr>
        <w:t xml:space="preserve"> our results were corroborated using </w:t>
      </w:r>
      <w:r w:rsidR="0000680E" w:rsidRPr="003E5EE1">
        <w:rPr>
          <w:rFonts w:cs="Arial"/>
        </w:rPr>
        <w:t>IBM-SPSS Statistics 21</w:t>
      </w:r>
      <w:r w:rsidR="0000680E">
        <w:rPr>
          <w:rFonts w:cs="Arial"/>
        </w:rPr>
        <w:t>.</w:t>
      </w:r>
    </w:p>
    <w:p w14:paraId="6C4E403F" w14:textId="77777777" w:rsidR="00006C1A" w:rsidRDefault="00006C1A" w:rsidP="00661B01">
      <w:pPr>
        <w:rPr>
          <w:b/>
          <w:sz w:val="32"/>
        </w:rPr>
      </w:pPr>
    </w:p>
    <w:p w14:paraId="11039AEA" w14:textId="0C7D498E" w:rsidR="00661B01" w:rsidRPr="00117E7B" w:rsidRDefault="00661B01" w:rsidP="00117E7B">
      <w:pPr>
        <w:pStyle w:val="ListParagraph"/>
        <w:numPr>
          <w:ilvl w:val="0"/>
          <w:numId w:val="2"/>
        </w:numPr>
        <w:rPr>
          <w:b/>
          <w:sz w:val="32"/>
        </w:rPr>
      </w:pPr>
      <w:r w:rsidRPr="00117E7B">
        <w:rPr>
          <w:b/>
          <w:sz w:val="32"/>
        </w:rPr>
        <w:t>Results</w:t>
      </w:r>
    </w:p>
    <w:p w14:paraId="7D3A032A" w14:textId="2AF24EAE" w:rsidR="00CA7151" w:rsidRDefault="00117E7B" w:rsidP="00276163">
      <w:pPr>
        <w:spacing w:line="360" w:lineRule="auto"/>
        <w:rPr>
          <w:b/>
        </w:rPr>
      </w:pPr>
      <w:r>
        <w:rPr>
          <w:b/>
        </w:rPr>
        <w:t>3.1</w:t>
      </w:r>
      <w:r w:rsidR="000D3F43">
        <w:rPr>
          <w:b/>
        </w:rPr>
        <w:t xml:space="preserve"> </w:t>
      </w:r>
      <w:r w:rsidR="00661B01" w:rsidRPr="00661B01">
        <w:rPr>
          <w:b/>
        </w:rPr>
        <w:t>Sample characteristics</w:t>
      </w:r>
    </w:p>
    <w:p w14:paraId="359856EC" w14:textId="49601FC8" w:rsidR="000D3F43" w:rsidRPr="00661B01" w:rsidRDefault="00117E7B" w:rsidP="00276163">
      <w:pPr>
        <w:spacing w:line="360" w:lineRule="auto"/>
        <w:rPr>
          <w:b/>
        </w:rPr>
      </w:pPr>
      <w:r>
        <w:rPr>
          <w:b/>
        </w:rPr>
        <w:t xml:space="preserve">3.1.1 </w:t>
      </w:r>
      <w:r w:rsidR="000D3F43">
        <w:rPr>
          <w:b/>
        </w:rPr>
        <w:t>Imaging and cognition</w:t>
      </w:r>
    </w:p>
    <w:p w14:paraId="6D2E6704" w14:textId="5E2FD632" w:rsidR="00D50EE1" w:rsidRDefault="002F1EE2" w:rsidP="00276163">
      <w:pPr>
        <w:spacing w:line="360" w:lineRule="auto"/>
      </w:pPr>
      <w:r w:rsidRPr="005529FB">
        <w:rPr>
          <w:rFonts w:eastAsia="Arial Unicode MS" w:cs="Arial"/>
        </w:rPr>
        <w:t xml:space="preserve">Valid imaging data were available for 61-64% of the participants </w:t>
      </w:r>
      <w:r w:rsidR="00E36B1A">
        <w:rPr>
          <w:rFonts w:eastAsia="Arial Unicode MS" w:cs="Arial"/>
        </w:rPr>
        <w:t>classified according to their iodine consumption</w:t>
      </w:r>
      <w:r w:rsidRPr="005529FB">
        <w:rPr>
          <w:rFonts w:eastAsia="Arial Unicode MS" w:cs="Arial"/>
        </w:rPr>
        <w:t>. As Table</w:t>
      </w:r>
      <w:r>
        <w:rPr>
          <w:rFonts w:eastAsia="Arial Unicode MS" w:cs="Arial"/>
        </w:rPr>
        <w:t xml:space="preserve"> 1 show</w:t>
      </w:r>
      <w:r w:rsidR="000D3F43">
        <w:rPr>
          <w:rFonts w:eastAsia="Arial Unicode MS" w:cs="Arial"/>
        </w:rPr>
        <w:t>s</w:t>
      </w:r>
      <w:r w:rsidRPr="005529FB">
        <w:rPr>
          <w:rFonts w:eastAsia="Arial Unicode MS" w:cs="Arial"/>
        </w:rPr>
        <w:t>, the descriptive values of the imaging variables for th</w:t>
      </w:r>
      <w:r w:rsidR="00B17535">
        <w:rPr>
          <w:rFonts w:eastAsia="Arial Unicode MS" w:cs="Arial"/>
        </w:rPr>
        <w:t>e</w:t>
      </w:r>
      <w:r w:rsidRPr="005529FB">
        <w:rPr>
          <w:rFonts w:eastAsia="Arial Unicode MS" w:cs="Arial"/>
        </w:rPr>
        <w:t xml:space="preserve"> subsample</w:t>
      </w:r>
      <w:r w:rsidR="00B17535" w:rsidRPr="00B17535">
        <w:rPr>
          <w:rFonts w:cs="Arial"/>
          <w:b/>
          <w:sz w:val="20"/>
        </w:rPr>
        <w:t xml:space="preserve"> </w:t>
      </w:r>
      <w:r w:rsidR="00B17535" w:rsidRPr="00B17535">
        <w:rPr>
          <w:rFonts w:eastAsia="Arial Unicode MS" w:cs="Arial"/>
        </w:rPr>
        <w:t>with extreme/middle</w:t>
      </w:r>
      <w:r w:rsidR="00B17535">
        <w:rPr>
          <w:rFonts w:eastAsia="Arial Unicode MS" w:cs="Arial"/>
        </w:rPr>
        <w:t xml:space="preserve"> iodine intake/avoidance </w:t>
      </w:r>
      <w:r w:rsidR="0000680E">
        <w:rPr>
          <w:rFonts w:eastAsia="Arial Unicode MS" w:cs="Arial"/>
        </w:rPr>
        <w:t>(n=189</w:t>
      </w:r>
      <w:r w:rsidR="00245059">
        <w:rPr>
          <w:rFonts w:eastAsia="Arial Unicode MS" w:cs="Arial"/>
        </w:rPr>
        <w:t>, 87 men and 102 women</w:t>
      </w:r>
      <w:r w:rsidR="0000680E">
        <w:rPr>
          <w:rFonts w:eastAsia="Arial Unicode MS" w:cs="Arial"/>
        </w:rPr>
        <w:t xml:space="preserve">) </w:t>
      </w:r>
      <w:r w:rsidRPr="005529FB">
        <w:rPr>
          <w:rFonts w:eastAsia="Arial Unicode MS" w:cs="Arial"/>
        </w:rPr>
        <w:t>are similar to those f</w:t>
      </w:r>
      <w:r>
        <w:rPr>
          <w:rFonts w:eastAsia="Arial Unicode MS" w:cs="Arial"/>
        </w:rPr>
        <w:t>rom the whole sample</w:t>
      </w:r>
      <w:r w:rsidR="00297C1B">
        <w:rPr>
          <w:rFonts w:eastAsia="Arial Unicode MS" w:cs="Arial"/>
        </w:rPr>
        <w:t xml:space="preserve"> (n=1091)</w:t>
      </w:r>
      <w:r w:rsidRPr="005529FB">
        <w:rPr>
          <w:rFonts w:eastAsia="Arial Unicode MS" w:cs="Arial"/>
        </w:rPr>
        <w:t>. The subtle inter-</w:t>
      </w:r>
      <w:proofErr w:type="spellStart"/>
      <w:r w:rsidRPr="005529FB">
        <w:rPr>
          <w:rFonts w:eastAsia="Arial Unicode MS" w:cs="Arial"/>
        </w:rPr>
        <w:t>hemispheral</w:t>
      </w:r>
      <w:proofErr w:type="spellEnd"/>
      <w:r w:rsidRPr="005529FB">
        <w:rPr>
          <w:rFonts w:eastAsia="Arial Unicode MS" w:cs="Arial"/>
        </w:rPr>
        <w:t xml:space="preserve"> differences on the hippocampal, cerebellar cortex and ventricular volumes </w:t>
      </w:r>
      <w:r w:rsidR="00E36B1A">
        <w:rPr>
          <w:rFonts w:eastAsia="Arial Unicode MS" w:cs="Arial"/>
        </w:rPr>
        <w:t>i</w:t>
      </w:r>
      <w:r w:rsidRPr="005529FB">
        <w:rPr>
          <w:rFonts w:eastAsia="Arial Unicode MS" w:cs="Arial"/>
        </w:rPr>
        <w:t>n the subsample follow the same pattern of the whole sample: slightly more atrophy</w:t>
      </w:r>
      <w:r w:rsidR="00B17535">
        <w:rPr>
          <w:rFonts w:eastAsia="Arial Unicode MS" w:cs="Arial"/>
        </w:rPr>
        <w:t xml:space="preserve"> (i.e. reduced volume)</w:t>
      </w:r>
      <w:r w:rsidRPr="005529FB">
        <w:rPr>
          <w:rFonts w:eastAsia="Arial Unicode MS" w:cs="Arial"/>
        </w:rPr>
        <w:t xml:space="preserve"> in the left hemisphere compared to the right</w:t>
      </w:r>
      <w:r w:rsidR="000D3F43">
        <w:rPr>
          <w:rFonts w:eastAsia="Arial Unicode MS" w:cs="Arial"/>
        </w:rPr>
        <w:t>, but this difference was not significant</w:t>
      </w:r>
      <w:r w:rsidR="001150F0">
        <w:rPr>
          <w:rFonts w:eastAsia="Arial Unicode MS" w:cs="Arial"/>
        </w:rPr>
        <w:t xml:space="preserve"> (previously reported </w:t>
      </w:r>
      <w:r w:rsidR="00CB6193">
        <w:rPr>
          <w:rFonts w:eastAsia="Arial Unicode MS" w:cs="Arial"/>
        </w:rPr>
        <w:fldChar w:fldCharType="begin"/>
      </w:r>
      <w:r w:rsidR="001544FE">
        <w:rPr>
          <w:rFonts w:eastAsia="Arial Unicode MS" w:cs="Arial"/>
        </w:rPr>
        <w:instrText xml:space="preserve"> ADDIN REFMGR.CITE &lt;Refman&gt;&lt;Cite&gt;&lt;Author&gt;Aribisala&lt;/Author&gt;&lt;Year&gt;2013&lt;/Year&gt;&lt;RecNum&gt;20160&lt;/RecNum&gt;&lt;IDText&gt;Brain atrophy associations with white matter lesions in the ageing brain: the Lothian Birth Cohort 1936&lt;/IDText&gt;&lt;MDL Ref_Type="Journal"&gt;&lt;Ref_Type&gt;Journal&lt;/Ref_Type&gt;&lt;Ref_ID&gt;20160&lt;/Ref_ID&gt;&lt;Title_Primary&gt;Brain atrophy associations with white matter lesions in the ageing brain: the Lothian Birth Cohort 1936&lt;/Title_Primary&gt;&lt;Authors_Primary&gt;Aribisala,B.S.&lt;/Authors_Primary&gt;&lt;Authors_Primary&gt;Valdes Hernandez,M.C.&lt;/Authors_Primary&gt;&lt;Authors_Primary&gt;Royle,N.A.&lt;/Authors_Primary&gt;&lt;Authors_Primary&gt;Morris,Z.&lt;/Authors_Primary&gt;&lt;Authors_Primary&gt;Munoz Maniega,S.&lt;/Authors_Primary&gt;&lt;Authors_Primary&gt;Bastin,M.E.&lt;/Authors_Primary&gt;&lt;Authors_Primary&gt;Deary,I.J.&lt;/Authors_Primary&gt;&lt;Authors_Primary&gt;Wardlaw,J.M.&lt;/Authors_Primary&gt;&lt;Date_Primary&gt;2013&lt;/Date_Primary&gt;&lt;Keywords&gt;Brain&lt;/Keywords&gt;&lt;Keywords&gt;Atrophy&lt;/Keywords&gt;&lt;Keywords&gt;ASSOCIATION&lt;/Keywords&gt;&lt;Keywords&gt;White Matter&lt;/Keywords&gt;&lt;Keywords&gt;LESIONS&lt;/Keywords&gt;&lt;Keywords&gt;lesion&lt;/Keywords&gt;&lt;Reprint&gt;In File&lt;/Reprint&gt;&lt;Start_Page&gt;1084&lt;/Start_Page&gt;&lt;End_Page&gt;1092&lt;/End_Page&gt;&lt;Periodical&gt;Eur Radiol&lt;/Periodical&gt;&lt;Volume&gt;23&lt;/Volume&gt;&lt;Issue&gt;4&lt;/Issue&gt;&lt;ZZ_JournalFull&gt;&lt;f name="System"&gt;Eur Radiol&lt;/f&gt;&lt;/ZZ_JournalFull&gt;&lt;ZZ_WorkformID&gt;1&lt;/ZZ_WorkformID&gt;&lt;/MDL&gt;&lt;/Cite&gt;&lt;/Refman&gt;</w:instrText>
      </w:r>
      <w:r w:rsidR="00CB6193">
        <w:rPr>
          <w:rFonts w:eastAsia="Arial Unicode MS" w:cs="Arial"/>
        </w:rPr>
        <w:fldChar w:fldCharType="separate"/>
      </w:r>
      <w:r w:rsidR="00547674">
        <w:rPr>
          <w:rFonts w:eastAsia="Arial Unicode MS" w:cs="Arial"/>
          <w:noProof/>
        </w:rPr>
        <w:t>(19)</w:t>
      </w:r>
      <w:r w:rsidR="00CB6193">
        <w:rPr>
          <w:rFonts w:eastAsia="Arial Unicode MS" w:cs="Arial"/>
        </w:rPr>
        <w:fldChar w:fldCharType="end"/>
      </w:r>
      <w:r w:rsidR="001150F0">
        <w:rPr>
          <w:rFonts w:eastAsia="Arial Unicode MS" w:cs="Arial"/>
        </w:rPr>
        <w:t>)</w:t>
      </w:r>
      <w:r w:rsidRPr="005529FB">
        <w:rPr>
          <w:rFonts w:eastAsia="Arial Unicode MS" w:cs="Arial"/>
        </w:rPr>
        <w:t>.</w:t>
      </w:r>
      <w:r w:rsidR="00121873">
        <w:rPr>
          <w:rFonts w:eastAsia="Arial Unicode MS" w:cs="Arial"/>
        </w:rPr>
        <w:t xml:space="preserve"> </w:t>
      </w:r>
      <w:r w:rsidR="00CC3852">
        <w:rPr>
          <w:rFonts w:eastAsia="Arial Unicode MS" w:cs="Arial"/>
        </w:rPr>
        <w:t>The</w:t>
      </w:r>
      <w:r w:rsidR="00121873">
        <w:t xml:space="preserve"> median and distribution of the imaging </w:t>
      </w:r>
      <w:r w:rsidR="00121873" w:rsidRPr="00B23F8C">
        <w:t xml:space="preserve">and cognitive measures did not significantly differ between the four </w:t>
      </w:r>
      <w:r w:rsidR="0020032C" w:rsidRPr="00B23F8C">
        <w:t xml:space="preserve">iodine consumption </w:t>
      </w:r>
      <w:r w:rsidR="00121873" w:rsidRPr="00B23F8C">
        <w:t>groups</w:t>
      </w:r>
      <w:r w:rsidR="0086426A" w:rsidRPr="00B23F8C">
        <w:t>: low intake of dairy and fish (</w:t>
      </w:r>
      <w:r w:rsidR="0099151F" w:rsidRPr="00B23F8C">
        <w:t xml:space="preserve">Group A, </w:t>
      </w:r>
      <w:r w:rsidR="0086426A" w:rsidRPr="00B23F8C">
        <w:t>n=63), dairy avoiders (</w:t>
      </w:r>
      <w:r w:rsidR="0099151F" w:rsidRPr="00B23F8C">
        <w:t xml:space="preserve">Group B, </w:t>
      </w:r>
      <w:r w:rsidR="0086426A" w:rsidRPr="00B23F8C">
        <w:t>n=22), medium intake of dairy and fish (</w:t>
      </w:r>
      <w:r w:rsidR="0099151F" w:rsidRPr="00B23F8C">
        <w:t xml:space="preserve">Group C, </w:t>
      </w:r>
      <w:r w:rsidR="0086426A" w:rsidRPr="00B23F8C">
        <w:t>n=76) and high intake of dairy and fish (</w:t>
      </w:r>
      <w:r w:rsidR="0099151F" w:rsidRPr="00B23F8C">
        <w:t xml:space="preserve">Group D, </w:t>
      </w:r>
      <w:r w:rsidR="0086426A" w:rsidRPr="00B23F8C">
        <w:t>n=28)</w:t>
      </w:r>
      <w:r w:rsidR="00121873" w:rsidRPr="00B23F8C">
        <w:t>.</w:t>
      </w:r>
      <w:r w:rsidR="0020032C">
        <w:t xml:space="preserve"> </w:t>
      </w:r>
    </w:p>
    <w:p w14:paraId="458BF221" w14:textId="77777777" w:rsidR="00D50EE1" w:rsidRDefault="00D50EE1" w:rsidP="00AC5E97"/>
    <w:p w14:paraId="3F0E5C06" w14:textId="4B3CECE6" w:rsidR="002F1EE2" w:rsidRPr="00B02058" w:rsidRDefault="002F1EE2" w:rsidP="00AC5E97">
      <w:pPr>
        <w:rPr>
          <w:rFonts w:cs="Arial"/>
          <w:b/>
          <w:sz w:val="20"/>
        </w:rPr>
      </w:pPr>
      <w:r w:rsidRPr="00B02058">
        <w:rPr>
          <w:rFonts w:cs="Arial"/>
          <w:b/>
          <w:sz w:val="20"/>
        </w:rPr>
        <w:t xml:space="preserve">Table </w:t>
      </w:r>
      <w:r w:rsidRPr="002F1EE2">
        <w:rPr>
          <w:rFonts w:cs="Arial"/>
          <w:b/>
          <w:sz w:val="20"/>
        </w:rPr>
        <w:t>1.</w:t>
      </w:r>
      <w:r w:rsidRPr="00B02058">
        <w:rPr>
          <w:rFonts w:cs="Arial"/>
          <w:b/>
          <w:sz w:val="20"/>
        </w:rPr>
        <w:t xml:space="preserve"> Descriptive statistics of the imaging</w:t>
      </w:r>
      <w:r w:rsidR="001150F0">
        <w:rPr>
          <w:rFonts w:cs="Arial"/>
          <w:b/>
          <w:sz w:val="20"/>
        </w:rPr>
        <w:t xml:space="preserve"> and cognitive</w:t>
      </w:r>
      <w:r w:rsidRPr="00B02058">
        <w:rPr>
          <w:rFonts w:cs="Arial"/>
          <w:b/>
          <w:sz w:val="20"/>
        </w:rPr>
        <w:t xml:space="preserve"> variables in the whole sample (n=1091)</w:t>
      </w:r>
      <w:r w:rsidR="001150F0">
        <w:rPr>
          <w:rFonts w:cs="Arial"/>
          <w:b/>
          <w:sz w:val="20"/>
        </w:rPr>
        <w:t xml:space="preserve"> and in the subsample with extreme</w:t>
      </w:r>
      <w:r w:rsidR="00CA7151">
        <w:rPr>
          <w:rFonts w:cs="Arial"/>
          <w:b/>
          <w:sz w:val="20"/>
        </w:rPr>
        <w:t>/middle</w:t>
      </w:r>
      <w:r w:rsidR="00B17535">
        <w:rPr>
          <w:rFonts w:cs="Arial"/>
          <w:b/>
          <w:sz w:val="20"/>
        </w:rPr>
        <w:t xml:space="preserve"> iodine intake/avoidance </w:t>
      </w:r>
      <w:r w:rsidR="001150F0">
        <w:rPr>
          <w:rFonts w:cs="Arial"/>
          <w:b/>
          <w:sz w:val="20"/>
        </w:rPr>
        <w:t>(n=189)</w:t>
      </w:r>
      <w:r w:rsidRPr="00B02058">
        <w:rPr>
          <w:rFonts w:cs="Arial"/>
          <w:b/>
          <w:sz w:val="20"/>
        </w:rPr>
        <w:t>. For variables normally distributed</w:t>
      </w:r>
      <w:r w:rsidR="001150F0">
        <w:rPr>
          <w:rFonts w:cs="Arial"/>
          <w:b/>
          <w:sz w:val="20"/>
        </w:rPr>
        <w:t xml:space="preserve"> (†)</w:t>
      </w:r>
      <w:r w:rsidRPr="00B02058">
        <w:rPr>
          <w:rFonts w:cs="Arial"/>
          <w:b/>
          <w:sz w:val="20"/>
        </w:rPr>
        <w:t>, the mean and standard deviation (SD) are given. For not normally distributed variables, median and interquartile range (IQR) are given instead.</w:t>
      </w:r>
    </w:p>
    <w:tbl>
      <w:tblPr>
        <w:tblStyle w:val="PlainTable21"/>
        <w:tblW w:w="0" w:type="auto"/>
        <w:tblLook w:val="04A0" w:firstRow="1" w:lastRow="0" w:firstColumn="1" w:lastColumn="0" w:noHBand="0" w:noVBand="1"/>
      </w:tblPr>
      <w:tblGrid>
        <w:gridCol w:w="1735"/>
        <w:gridCol w:w="1522"/>
        <w:gridCol w:w="1199"/>
        <w:gridCol w:w="1600"/>
        <w:gridCol w:w="1274"/>
        <w:gridCol w:w="1696"/>
      </w:tblGrid>
      <w:tr w:rsidR="00EC711B" w:rsidRPr="006718F6" w14:paraId="33B25CE1" w14:textId="77777777" w:rsidTr="002A3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gridSpan w:val="2"/>
            <w:vMerge w:val="restart"/>
            <w:vAlign w:val="center"/>
          </w:tcPr>
          <w:p w14:paraId="24ED30E4" w14:textId="77777777" w:rsidR="00EC711B" w:rsidRPr="002A39D8" w:rsidRDefault="00EC711B" w:rsidP="002A39D8">
            <w:pPr>
              <w:spacing w:line="360" w:lineRule="auto"/>
              <w:jc w:val="center"/>
              <w:rPr>
                <w:rFonts w:cs="Arial"/>
              </w:rPr>
            </w:pPr>
            <w:r w:rsidRPr="002A39D8">
              <w:rPr>
                <w:rFonts w:cs="Arial"/>
              </w:rPr>
              <w:t>Imaging variable</w:t>
            </w:r>
            <w:r w:rsidR="00C61F46" w:rsidRPr="002A39D8">
              <w:rPr>
                <w:rFonts w:cs="Arial"/>
              </w:rPr>
              <w:t>s</w:t>
            </w:r>
          </w:p>
        </w:tc>
        <w:tc>
          <w:tcPr>
            <w:tcW w:w="2803" w:type="dxa"/>
            <w:gridSpan w:val="2"/>
            <w:vAlign w:val="center"/>
          </w:tcPr>
          <w:p w14:paraId="3A796515" w14:textId="16F53160" w:rsidR="00EC711B" w:rsidRPr="002A39D8" w:rsidRDefault="00E36B1A" w:rsidP="00E36B1A">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Full Cohort </w:t>
            </w:r>
            <w:r w:rsidR="00A81282" w:rsidRPr="002A39D8">
              <w:rPr>
                <w:rFonts w:cs="Arial"/>
              </w:rPr>
              <w:t>(n=1091)</w:t>
            </w:r>
          </w:p>
        </w:tc>
        <w:tc>
          <w:tcPr>
            <w:tcW w:w="2977" w:type="dxa"/>
            <w:gridSpan w:val="2"/>
            <w:vAlign w:val="center"/>
          </w:tcPr>
          <w:p w14:paraId="5E27B0B1" w14:textId="5728676E" w:rsidR="00EC711B" w:rsidRPr="002A39D8" w:rsidRDefault="00E36B1A" w:rsidP="002A39D8">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Present </w:t>
            </w:r>
            <w:r w:rsidR="00A81282" w:rsidRPr="002A39D8">
              <w:rPr>
                <w:rFonts w:cs="Arial"/>
              </w:rPr>
              <w:t>Subsample (n=189)</w:t>
            </w:r>
          </w:p>
        </w:tc>
      </w:tr>
      <w:tr w:rsidR="00EC711B" w:rsidRPr="006718F6" w14:paraId="27D5B605" w14:textId="77777777" w:rsidTr="002A3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gridSpan w:val="2"/>
            <w:vMerge/>
            <w:vAlign w:val="center"/>
          </w:tcPr>
          <w:p w14:paraId="5CA1F0C3" w14:textId="77777777" w:rsidR="00EC711B" w:rsidRPr="006718F6" w:rsidRDefault="00EC711B" w:rsidP="002A39D8">
            <w:pPr>
              <w:spacing w:line="360" w:lineRule="auto"/>
              <w:jc w:val="center"/>
              <w:rPr>
                <w:rFonts w:cs="Arial"/>
                <w:b w:val="0"/>
              </w:rPr>
            </w:pPr>
          </w:p>
        </w:tc>
        <w:tc>
          <w:tcPr>
            <w:tcW w:w="1199" w:type="dxa"/>
            <w:vAlign w:val="center"/>
          </w:tcPr>
          <w:p w14:paraId="4B9E5E8D" w14:textId="77777777" w:rsidR="00EC711B" w:rsidRPr="006718F6"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6718F6">
              <w:rPr>
                <w:rFonts w:cs="Arial"/>
                <w:b/>
              </w:rPr>
              <w:t>Valid data (n)</w:t>
            </w:r>
          </w:p>
        </w:tc>
        <w:tc>
          <w:tcPr>
            <w:tcW w:w="1604" w:type="dxa"/>
            <w:vAlign w:val="center"/>
          </w:tcPr>
          <w:p w14:paraId="159E2EC7" w14:textId="77777777" w:rsidR="00EC711B" w:rsidRPr="006718F6"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6718F6">
              <w:rPr>
                <w:rFonts w:cs="Arial"/>
                <w:b/>
              </w:rPr>
              <w:t xml:space="preserve">Mean </w:t>
            </w:r>
            <w:r>
              <w:rPr>
                <w:rFonts w:cs="Arial"/>
                <w:b/>
              </w:rPr>
              <w:t>(SD)</w:t>
            </w:r>
            <w:r w:rsidRPr="006718F6">
              <w:rPr>
                <w:rFonts w:cs="Arial"/>
                <w:b/>
              </w:rPr>
              <w:t>or Median</w:t>
            </w:r>
            <w:r>
              <w:rPr>
                <w:rFonts w:cs="Arial"/>
                <w:b/>
              </w:rPr>
              <w:t xml:space="preserve"> (IQR)</w:t>
            </w:r>
          </w:p>
        </w:tc>
        <w:tc>
          <w:tcPr>
            <w:tcW w:w="1276" w:type="dxa"/>
            <w:vAlign w:val="center"/>
          </w:tcPr>
          <w:p w14:paraId="70753CD1" w14:textId="77777777" w:rsidR="00EC711B" w:rsidRPr="006718F6"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6718F6">
              <w:rPr>
                <w:rFonts w:cs="Arial"/>
                <w:b/>
              </w:rPr>
              <w:t>Valid data (n)</w:t>
            </w:r>
          </w:p>
        </w:tc>
        <w:tc>
          <w:tcPr>
            <w:tcW w:w="1701" w:type="dxa"/>
            <w:vAlign w:val="center"/>
          </w:tcPr>
          <w:p w14:paraId="5CAB046D" w14:textId="77777777" w:rsidR="00EC711B" w:rsidRPr="006718F6"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rPr>
            </w:pPr>
            <w:r w:rsidRPr="006718F6">
              <w:rPr>
                <w:rFonts w:cs="Arial"/>
                <w:b/>
              </w:rPr>
              <w:t xml:space="preserve">Mean </w:t>
            </w:r>
            <w:r>
              <w:rPr>
                <w:rFonts w:cs="Arial"/>
                <w:b/>
              </w:rPr>
              <w:t>(SD)</w:t>
            </w:r>
            <w:r w:rsidRPr="006718F6">
              <w:rPr>
                <w:rFonts w:cs="Arial"/>
                <w:b/>
              </w:rPr>
              <w:t>or Median</w:t>
            </w:r>
            <w:r>
              <w:rPr>
                <w:rFonts w:cs="Arial"/>
                <w:b/>
              </w:rPr>
              <w:t xml:space="preserve"> (IQR)</w:t>
            </w:r>
          </w:p>
        </w:tc>
      </w:tr>
      <w:tr w:rsidR="00EC711B" w:rsidRPr="005529FB" w14:paraId="6B15AA85" w14:textId="77777777" w:rsidTr="002A39D8">
        <w:tc>
          <w:tcPr>
            <w:cnfStyle w:val="001000000000" w:firstRow="0" w:lastRow="0" w:firstColumn="1" w:lastColumn="0" w:oddVBand="0" w:evenVBand="0" w:oddHBand="0" w:evenHBand="0" w:firstRowFirstColumn="0" w:firstRowLastColumn="0" w:lastRowFirstColumn="0" w:lastRowLastColumn="0"/>
            <w:tcW w:w="1736" w:type="dxa"/>
            <w:vMerge w:val="restart"/>
            <w:vAlign w:val="center"/>
          </w:tcPr>
          <w:p w14:paraId="4CB4B149" w14:textId="77777777" w:rsidR="00EC711B" w:rsidRPr="005529FB" w:rsidRDefault="00EC711B" w:rsidP="002A39D8">
            <w:pPr>
              <w:spacing w:line="360" w:lineRule="auto"/>
              <w:jc w:val="center"/>
              <w:rPr>
                <w:rFonts w:cs="Arial"/>
              </w:rPr>
            </w:pPr>
            <w:r w:rsidRPr="005529FB">
              <w:rPr>
                <w:rFonts w:cs="Arial"/>
              </w:rPr>
              <w:t>Brain ventricular volume (ml)</w:t>
            </w:r>
          </w:p>
        </w:tc>
        <w:tc>
          <w:tcPr>
            <w:tcW w:w="1523" w:type="dxa"/>
            <w:tcBorders>
              <w:top w:val="nil"/>
              <w:bottom w:val="nil"/>
            </w:tcBorders>
            <w:vAlign w:val="center"/>
          </w:tcPr>
          <w:p w14:paraId="4B0224B2" w14:textId="77777777" w:rsidR="00EC711B" w:rsidRPr="005529FB" w:rsidRDefault="00EC711B" w:rsidP="002A39D8">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sidRPr="005529FB">
              <w:rPr>
                <w:rFonts w:cs="Arial"/>
              </w:rPr>
              <w:t>Lateral right</w:t>
            </w:r>
          </w:p>
        </w:tc>
        <w:tc>
          <w:tcPr>
            <w:tcW w:w="1199" w:type="dxa"/>
            <w:vMerge w:val="restart"/>
            <w:vAlign w:val="center"/>
          </w:tcPr>
          <w:p w14:paraId="2C469F13" w14:textId="77777777" w:rsidR="00EC711B" w:rsidRPr="005529FB" w:rsidRDefault="00EC711B"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529FB">
              <w:rPr>
                <w:rFonts w:cs="Arial"/>
              </w:rPr>
              <w:t>671/1091 (62%)</w:t>
            </w:r>
          </w:p>
        </w:tc>
        <w:tc>
          <w:tcPr>
            <w:tcW w:w="1604" w:type="dxa"/>
            <w:tcBorders>
              <w:top w:val="single" w:sz="4" w:space="0" w:color="7F7F7F" w:themeColor="text1" w:themeTint="80"/>
              <w:bottom w:val="nil"/>
            </w:tcBorders>
            <w:vAlign w:val="center"/>
          </w:tcPr>
          <w:p w14:paraId="2C5170A6" w14:textId="77777777" w:rsidR="00EC711B" w:rsidRPr="005529FB" w:rsidRDefault="00EC711B"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529FB">
              <w:rPr>
                <w:rFonts w:cs="Arial"/>
              </w:rPr>
              <w:t>13.93</w:t>
            </w:r>
            <w:r>
              <w:rPr>
                <w:rFonts w:cs="Arial"/>
              </w:rPr>
              <w:t xml:space="preserve"> (9.30)</w:t>
            </w:r>
          </w:p>
        </w:tc>
        <w:tc>
          <w:tcPr>
            <w:tcW w:w="1276" w:type="dxa"/>
            <w:vMerge w:val="restart"/>
            <w:vAlign w:val="center"/>
          </w:tcPr>
          <w:p w14:paraId="4B5B547D" w14:textId="77777777" w:rsidR="00EC711B" w:rsidRPr="005529FB" w:rsidRDefault="00EC711B"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529FB">
              <w:rPr>
                <w:rFonts w:cs="Arial"/>
              </w:rPr>
              <w:t>117 / 189 (62%)</w:t>
            </w:r>
          </w:p>
        </w:tc>
        <w:tc>
          <w:tcPr>
            <w:tcW w:w="1701" w:type="dxa"/>
            <w:tcBorders>
              <w:top w:val="single" w:sz="4" w:space="0" w:color="7F7F7F" w:themeColor="text1" w:themeTint="80"/>
              <w:bottom w:val="nil"/>
            </w:tcBorders>
            <w:vAlign w:val="center"/>
          </w:tcPr>
          <w:p w14:paraId="09C5247E" w14:textId="77777777" w:rsidR="00EC711B" w:rsidRPr="005529FB" w:rsidRDefault="00EC711B"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529FB">
              <w:rPr>
                <w:rFonts w:cs="Arial"/>
              </w:rPr>
              <w:t>14.44</w:t>
            </w:r>
            <w:r>
              <w:rPr>
                <w:rFonts w:cs="Arial"/>
              </w:rPr>
              <w:t xml:space="preserve"> (8.46)</w:t>
            </w:r>
          </w:p>
        </w:tc>
      </w:tr>
      <w:tr w:rsidR="00EC711B" w:rsidRPr="005529FB" w14:paraId="76628E41" w14:textId="77777777" w:rsidTr="002A3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vMerge/>
            <w:vAlign w:val="center"/>
          </w:tcPr>
          <w:p w14:paraId="393BABB9" w14:textId="77777777" w:rsidR="00EC711B" w:rsidRPr="005529FB" w:rsidRDefault="00EC711B" w:rsidP="002A39D8">
            <w:pPr>
              <w:spacing w:line="360" w:lineRule="auto"/>
              <w:jc w:val="center"/>
              <w:rPr>
                <w:rFonts w:cs="Arial"/>
              </w:rPr>
            </w:pPr>
          </w:p>
        </w:tc>
        <w:tc>
          <w:tcPr>
            <w:tcW w:w="1523" w:type="dxa"/>
            <w:tcBorders>
              <w:top w:val="nil"/>
              <w:bottom w:val="nil"/>
            </w:tcBorders>
            <w:vAlign w:val="center"/>
          </w:tcPr>
          <w:p w14:paraId="4137B857" w14:textId="77777777" w:rsidR="00EC711B" w:rsidRPr="005529FB" w:rsidRDefault="00EC711B" w:rsidP="002A39D8">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sidRPr="005529FB">
              <w:rPr>
                <w:rFonts w:cs="Arial"/>
              </w:rPr>
              <w:t>Lateral left</w:t>
            </w:r>
          </w:p>
        </w:tc>
        <w:tc>
          <w:tcPr>
            <w:tcW w:w="1199" w:type="dxa"/>
            <w:vMerge/>
            <w:vAlign w:val="center"/>
          </w:tcPr>
          <w:p w14:paraId="11A7BD2C" w14:textId="77777777" w:rsidR="00EC711B" w:rsidRPr="005529FB"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604" w:type="dxa"/>
            <w:tcBorders>
              <w:top w:val="nil"/>
              <w:bottom w:val="nil"/>
            </w:tcBorders>
            <w:vAlign w:val="center"/>
          </w:tcPr>
          <w:p w14:paraId="6B10F31C" w14:textId="77777777" w:rsidR="00EC711B" w:rsidRPr="005529FB"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5529FB">
              <w:rPr>
                <w:rFonts w:cs="Arial"/>
              </w:rPr>
              <w:t>15.26</w:t>
            </w:r>
            <w:r>
              <w:rPr>
                <w:rFonts w:cs="Arial"/>
              </w:rPr>
              <w:t xml:space="preserve"> (10.70)</w:t>
            </w:r>
          </w:p>
        </w:tc>
        <w:tc>
          <w:tcPr>
            <w:tcW w:w="1276" w:type="dxa"/>
            <w:vMerge/>
            <w:vAlign w:val="center"/>
          </w:tcPr>
          <w:p w14:paraId="044B66DF" w14:textId="77777777" w:rsidR="00EC711B" w:rsidRPr="005529FB"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701" w:type="dxa"/>
            <w:tcBorders>
              <w:top w:val="nil"/>
              <w:bottom w:val="nil"/>
            </w:tcBorders>
            <w:vAlign w:val="center"/>
          </w:tcPr>
          <w:p w14:paraId="5BB6297D" w14:textId="77777777" w:rsidR="00EC711B" w:rsidRPr="005529FB"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5529FB">
              <w:rPr>
                <w:rFonts w:cs="Arial"/>
              </w:rPr>
              <w:t>15.10</w:t>
            </w:r>
            <w:r>
              <w:rPr>
                <w:rFonts w:cs="Arial"/>
              </w:rPr>
              <w:t xml:space="preserve"> (10.73)</w:t>
            </w:r>
          </w:p>
        </w:tc>
      </w:tr>
      <w:tr w:rsidR="00EC711B" w:rsidRPr="005529FB" w14:paraId="657D9207" w14:textId="77777777" w:rsidTr="002A39D8">
        <w:tc>
          <w:tcPr>
            <w:cnfStyle w:val="001000000000" w:firstRow="0" w:lastRow="0" w:firstColumn="1" w:lastColumn="0" w:oddVBand="0" w:evenVBand="0" w:oddHBand="0" w:evenHBand="0" w:firstRowFirstColumn="0" w:firstRowLastColumn="0" w:lastRowFirstColumn="0" w:lastRowLastColumn="0"/>
            <w:tcW w:w="1736" w:type="dxa"/>
            <w:vMerge/>
            <w:vAlign w:val="center"/>
          </w:tcPr>
          <w:p w14:paraId="3DF83864" w14:textId="77777777" w:rsidR="00EC711B" w:rsidRPr="005529FB" w:rsidRDefault="00EC711B" w:rsidP="002A39D8">
            <w:pPr>
              <w:spacing w:line="360" w:lineRule="auto"/>
              <w:jc w:val="center"/>
              <w:rPr>
                <w:rFonts w:cs="Arial"/>
              </w:rPr>
            </w:pPr>
          </w:p>
        </w:tc>
        <w:tc>
          <w:tcPr>
            <w:tcW w:w="1523" w:type="dxa"/>
            <w:tcBorders>
              <w:top w:val="nil"/>
              <w:bottom w:val="nil"/>
            </w:tcBorders>
            <w:vAlign w:val="center"/>
          </w:tcPr>
          <w:p w14:paraId="76983A01" w14:textId="77777777" w:rsidR="00EC711B" w:rsidRPr="005529FB" w:rsidRDefault="00EC711B" w:rsidP="002A39D8">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sidRPr="005529FB">
              <w:rPr>
                <w:rFonts w:cs="Arial"/>
              </w:rPr>
              <w:t>Third</w:t>
            </w:r>
          </w:p>
        </w:tc>
        <w:tc>
          <w:tcPr>
            <w:tcW w:w="1199" w:type="dxa"/>
            <w:vMerge/>
            <w:vAlign w:val="center"/>
          </w:tcPr>
          <w:p w14:paraId="48F624DC" w14:textId="77777777" w:rsidR="00EC711B" w:rsidRPr="005529FB" w:rsidRDefault="00EC711B"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604" w:type="dxa"/>
            <w:tcBorders>
              <w:top w:val="nil"/>
              <w:bottom w:val="nil"/>
            </w:tcBorders>
            <w:vAlign w:val="center"/>
          </w:tcPr>
          <w:p w14:paraId="25F0E65D" w14:textId="77777777" w:rsidR="00EC711B" w:rsidRPr="005529FB" w:rsidRDefault="00EC711B"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529FB">
              <w:rPr>
                <w:rFonts w:cs="Arial"/>
              </w:rPr>
              <w:t>1.74</w:t>
            </w:r>
            <w:r>
              <w:rPr>
                <w:rFonts w:cs="Arial"/>
              </w:rPr>
              <w:t xml:space="preserve"> (0.90)</w:t>
            </w:r>
          </w:p>
        </w:tc>
        <w:tc>
          <w:tcPr>
            <w:tcW w:w="1276" w:type="dxa"/>
            <w:vMerge/>
            <w:vAlign w:val="center"/>
          </w:tcPr>
          <w:p w14:paraId="25C23A7B" w14:textId="77777777" w:rsidR="00EC711B" w:rsidRPr="005529FB" w:rsidRDefault="00EC711B"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701" w:type="dxa"/>
            <w:tcBorders>
              <w:top w:val="nil"/>
              <w:bottom w:val="nil"/>
            </w:tcBorders>
            <w:vAlign w:val="center"/>
          </w:tcPr>
          <w:p w14:paraId="274A391B" w14:textId="77777777" w:rsidR="00EC711B" w:rsidRPr="005529FB" w:rsidRDefault="00EC711B"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529FB">
              <w:rPr>
                <w:rFonts w:cs="Arial"/>
              </w:rPr>
              <w:t>1.79</w:t>
            </w:r>
            <w:r>
              <w:rPr>
                <w:rFonts w:cs="Arial"/>
              </w:rPr>
              <w:t xml:space="preserve"> (0.88)</w:t>
            </w:r>
          </w:p>
        </w:tc>
      </w:tr>
      <w:tr w:rsidR="00EC711B" w:rsidRPr="005529FB" w14:paraId="20EC68DE" w14:textId="77777777" w:rsidTr="002A3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vMerge/>
            <w:vAlign w:val="center"/>
          </w:tcPr>
          <w:p w14:paraId="1D5812DA" w14:textId="77777777" w:rsidR="00EC711B" w:rsidRPr="005529FB" w:rsidRDefault="00EC711B" w:rsidP="002A39D8">
            <w:pPr>
              <w:spacing w:line="360" w:lineRule="auto"/>
              <w:jc w:val="center"/>
              <w:rPr>
                <w:rFonts w:cs="Arial"/>
              </w:rPr>
            </w:pPr>
          </w:p>
        </w:tc>
        <w:tc>
          <w:tcPr>
            <w:tcW w:w="1523" w:type="dxa"/>
            <w:tcBorders>
              <w:top w:val="nil"/>
            </w:tcBorders>
            <w:vAlign w:val="center"/>
          </w:tcPr>
          <w:p w14:paraId="56D7F5C8" w14:textId="77777777" w:rsidR="00EC711B" w:rsidRPr="005529FB" w:rsidRDefault="00EC711B" w:rsidP="002A39D8">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sidRPr="005529FB">
              <w:rPr>
                <w:rFonts w:cs="Arial"/>
              </w:rPr>
              <w:t>Fourth</w:t>
            </w:r>
          </w:p>
        </w:tc>
        <w:tc>
          <w:tcPr>
            <w:tcW w:w="1199" w:type="dxa"/>
            <w:vMerge/>
            <w:vAlign w:val="center"/>
          </w:tcPr>
          <w:p w14:paraId="35FCE986" w14:textId="77777777" w:rsidR="00EC711B" w:rsidRPr="005529FB"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604" w:type="dxa"/>
            <w:tcBorders>
              <w:top w:val="nil"/>
            </w:tcBorders>
            <w:vAlign w:val="center"/>
          </w:tcPr>
          <w:p w14:paraId="42979AC9" w14:textId="77777777" w:rsidR="00EC711B" w:rsidRPr="005529FB"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5529FB">
              <w:rPr>
                <w:rFonts w:cs="Arial"/>
              </w:rPr>
              <w:t>0.27</w:t>
            </w:r>
            <w:r>
              <w:rPr>
                <w:rFonts w:cs="Arial"/>
              </w:rPr>
              <w:t xml:space="preserve"> (0.25)</w:t>
            </w:r>
          </w:p>
        </w:tc>
        <w:tc>
          <w:tcPr>
            <w:tcW w:w="1276" w:type="dxa"/>
            <w:vMerge/>
            <w:vAlign w:val="center"/>
          </w:tcPr>
          <w:p w14:paraId="4D19FA71" w14:textId="77777777" w:rsidR="00EC711B" w:rsidRPr="005529FB"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701" w:type="dxa"/>
            <w:tcBorders>
              <w:top w:val="nil"/>
            </w:tcBorders>
            <w:vAlign w:val="center"/>
          </w:tcPr>
          <w:p w14:paraId="78A9B0B1" w14:textId="77777777" w:rsidR="00EC711B" w:rsidRPr="005529FB"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5529FB">
              <w:rPr>
                <w:rFonts w:cs="Arial"/>
              </w:rPr>
              <w:t>0.30</w:t>
            </w:r>
            <w:r>
              <w:rPr>
                <w:rFonts w:cs="Arial"/>
              </w:rPr>
              <w:t xml:space="preserve"> (0.24)</w:t>
            </w:r>
          </w:p>
        </w:tc>
      </w:tr>
      <w:tr w:rsidR="00EC711B" w:rsidRPr="005529FB" w14:paraId="27DE11A4" w14:textId="77777777" w:rsidTr="002A39D8">
        <w:tc>
          <w:tcPr>
            <w:cnfStyle w:val="001000000000" w:firstRow="0" w:lastRow="0" w:firstColumn="1" w:lastColumn="0" w:oddVBand="0" w:evenVBand="0" w:oddHBand="0" w:evenHBand="0" w:firstRowFirstColumn="0" w:firstRowLastColumn="0" w:lastRowFirstColumn="0" w:lastRowLastColumn="0"/>
            <w:tcW w:w="3259" w:type="dxa"/>
            <w:gridSpan w:val="2"/>
            <w:vAlign w:val="center"/>
          </w:tcPr>
          <w:p w14:paraId="287FDC26" w14:textId="77777777" w:rsidR="00EC711B" w:rsidRPr="005529FB" w:rsidRDefault="00EC711B" w:rsidP="002A39D8">
            <w:pPr>
              <w:spacing w:line="360" w:lineRule="auto"/>
              <w:jc w:val="center"/>
              <w:rPr>
                <w:rFonts w:cs="Arial"/>
              </w:rPr>
            </w:pPr>
            <w:r w:rsidRPr="005529FB">
              <w:rPr>
                <w:rFonts w:cs="Arial"/>
              </w:rPr>
              <w:t>Subarachnoid space volume (ml)</w:t>
            </w:r>
          </w:p>
        </w:tc>
        <w:tc>
          <w:tcPr>
            <w:tcW w:w="1199" w:type="dxa"/>
            <w:vAlign w:val="center"/>
          </w:tcPr>
          <w:p w14:paraId="4C2D6CEE" w14:textId="77777777" w:rsidR="00EC711B" w:rsidRPr="005529FB" w:rsidRDefault="00EC711B"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529FB">
              <w:rPr>
                <w:rFonts w:cs="Arial"/>
              </w:rPr>
              <w:t>669/1091 (61%)</w:t>
            </w:r>
          </w:p>
        </w:tc>
        <w:tc>
          <w:tcPr>
            <w:tcW w:w="1604" w:type="dxa"/>
            <w:tcBorders>
              <w:bottom w:val="single" w:sz="4" w:space="0" w:color="7F7F7F" w:themeColor="text1" w:themeTint="80"/>
            </w:tcBorders>
            <w:vAlign w:val="center"/>
          </w:tcPr>
          <w:p w14:paraId="05B8B91C" w14:textId="77777777" w:rsidR="00EC711B" w:rsidRPr="005529FB" w:rsidRDefault="00EC711B"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529FB">
              <w:rPr>
                <w:rFonts w:cs="Arial"/>
              </w:rPr>
              <w:t>189.59</w:t>
            </w:r>
            <w:r>
              <w:rPr>
                <w:rFonts w:cs="Arial"/>
              </w:rPr>
              <w:t xml:space="preserve"> (75.25)</w:t>
            </w:r>
          </w:p>
        </w:tc>
        <w:tc>
          <w:tcPr>
            <w:tcW w:w="1276" w:type="dxa"/>
            <w:vAlign w:val="center"/>
          </w:tcPr>
          <w:p w14:paraId="1AA22810" w14:textId="77777777" w:rsidR="00EC711B" w:rsidRPr="005529FB" w:rsidRDefault="00EC711B"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529FB">
              <w:rPr>
                <w:rFonts w:cs="Arial"/>
              </w:rPr>
              <w:t>117 / 189 (62%)</w:t>
            </w:r>
          </w:p>
        </w:tc>
        <w:tc>
          <w:tcPr>
            <w:tcW w:w="1701" w:type="dxa"/>
            <w:tcBorders>
              <w:bottom w:val="single" w:sz="4" w:space="0" w:color="7F7F7F" w:themeColor="text1" w:themeTint="80"/>
            </w:tcBorders>
            <w:vAlign w:val="center"/>
          </w:tcPr>
          <w:p w14:paraId="59E7ACD3" w14:textId="77777777" w:rsidR="00EC711B" w:rsidRPr="005529FB" w:rsidRDefault="00EC711B"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190.83 (66.28)</w:t>
            </w:r>
          </w:p>
        </w:tc>
      </w:tr>
      <w:tr w:rsidR="00EC711B" w:rsidRPr="005529FB" w14:paraId="0AFC9AED" w14:textId="77777777" w:rsidTr="002A3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vMerge w:val="restart"/>
            <w:vAlign w:val="center"/>
          </w:tcPr>
          <w:p w14:paraId="0D578524" w14:textId="77777777" w:rsidR="00EC711B" w:rsidRPr="005529FB" w:rsidRDefault="00EC711B" w:rsidP="002A39D8">
            <w:pPr>
              <w:spacing w:line="360" w:lineRule="auto"/>
              <w:jc w:val="center"/>
              <w:rPr>
                <w:rFonts w:cs="Arial"/>
              </w:rPr>
            </w:pPr>
            <w:r w:rsidRPr="005529FB">
              <w:rPr>
                <w:rFonts w:cs="Arial"/>
              </w:rPr>
              <w:t>Hippocampal volume (ml)</w:t>
            </w:r>
            <w:r w:rsidRPr="00EC711B">
              <w:rPr>
                <w:rFonts w:cs="Arial"/>
                <w:b w:val="0"/>
                <w:sz w:val="20"/>
              </w:rPr>
              <w:t xml:space="preserve"> </w:t>
            </w:r>
            <w:r w:rsidRPr="00EC711B">
              <w:rPr>
                <w:rFonts w:cs="Arial"/>
              </w:rPr>
              <w:t>(†)</w:t>
            </w:r>
          </w:p>
        </w:tc>
        <w:tc>
          <w:tcPr>
            <w:tcW w:w="1523" w:type="dxa"/>
            <w:tcBorders>
              <w:bottom w:val="nil"/>
            </w:tcBorders>
            <w:vAlign w:val="center"/>
          </w:tcPr>
          <w:p w14:paraId="719B7145" w14:textId="77777777" w:rsidR="00EC711B" w:rsidRPr="005529FB" w:rsidRDefault="00EC711B" w:rsidP="002A39D8">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sidRPr="005529FB">
              <w:rPr>
                <w:rFonts w:cs="Arial"/>
              </w:rPr>
              <w:t>Right hippocampus</w:t>
            </w:r>
          </w:p>
        </w:tc>
        <w:tc>
          <w:tcPr>
            <w:tcW w:w="1199" w:type="dxa"/>
            <w:vMerge w:val="restart"/>
            <w:vAlign w:val="center"/>
          </w:tcPr>
          <w:p w14:paraId="735550EF" w14:textId="77777777" w:rsidR="00EC711B" w:rsidRPr="005529FB"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5529FB">
              <w:rPr>
                <w:rFonts w:cs="Arial"/>
              </w:rPr>
              <w:t>660/1091 (60%)</w:t>
            </w:r>
          </w:p>
        </w:tc>
        <w:tc>
          <w:tcPr>
            <w:tcW w:w="1604" w:type="dxa"/>
            <w:tcBorders>
              <w:bottom w:val="nil"/>
            </w:tcBorders>
            <w:vAlign w:val="center"/>
          </w:tcPr>
          <w:p w14:paraId="2B0EDE2E" w14:textId="77777777" w:rsidR="00EC711B" w:rsidRPr="005529FB"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5529FB">
              <w:rPr>
                <w:rFonts w:cs="Arial"/>
              </w:rPr>
              <w:t>3.33</w:t>
            </w:r>
            <w:r>
              <w:rPr>
                <w:rFonts w:cs="Arial"/>
              </w:rPr>
              <w:t xml:space="preserve"> (0.46)</w:t>
            </w:r>
          </w:p>
        </w:tc>
        <w:tc>
          <w:tcPr>
            <w:tcW w:w="1276" w:type="dxa"/>
            <w:vMerge w:val="restart"/>
            <w:vAlign w:val="center"/>
          </w:tcPr>
          <w:p w14:paraId="746E6034" w14:textId="77777777" w:rsidR="00EC711B" w:rsidRPr="005529FB"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5529FB">
              <w:rPr>
                <w:rFonts w:cs="Arial"/>
              </w:rPr>
              <w:t>117 / 189 (62%)</w:t>
            </w:r>
          </w:p>
        </w:tc>
        <w:tc>
          <w:tcPr>
            <w:tcW w:w="1701" w:type="dxa"/>
            <w:tcBorders>
              <w:bottom w:val="nil"/>
            </w:tcBorders>
            <w:vAlign w:val="center"/>
          </w:tcPr>
          <w:p w14:paraId="496D8E65" w14:textId="77777777" w:rsidR="00EC711B" w:rsidRPr="005529FB"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5529FB">
              <w:rPr>
                <w:rFonts w:cs="Arial"/>
              </w:rPr>
              <w:t>3.34</w:t>
            </w:r>
            <w:r>
              <w:rPr>
                <w:rFonts w:cs="Arial"/>
              </w:rPr>
              <w:t xml:space="preserve"> (0.68)</w:t>
            </w:r>
          </w:p>
        </w:tc>
      </w:tr>
      <w:tr w:rsidR="00EC711B" w:rsidRPr="005529FB" w14:paraId="03051BB7" w14:textId="77777777" w:rsidTr="002A39D8">
        <w:tc>
          <w:tcPr>
            <w:cnfStyle w:val="001000000000" w:firstRow="0" w:lastRow="0" w:firstColumn="1" w:lastColumn="0" w:oddVBand="0" w:evenVBand="0" w:oddHBand="0" w:evenHBand="0" w:firstRowFirstColumn="0" w:firstRowLastColumn="0" w:lastRowFirstColumn="0" w:lastRowLastColumn="0"/>
            <w:tcW w:w="1736" w:type="dxa"/>
            <w:vMerge/>
            <w:vAlign w:val="center"/>
          </w:tcPr>
          <w:p w14:paraId="17D02E99" w14:textId="77777777" w:rsidR="00EC711B" w:rsidRPr="005529FB" w:rsidRDefault="00EC711B" w:rsidP="002A39D8">
            <w:pPr>
              <w:spacing w:line="360" w:lineRule="auto"/>
              <w:jc w:val="center"/>
              <w:rPr>
                <w:rFonts w:cs="Arial"/>
              </w:rPr>
            </w:pPr>
          </w:p>
        </w:tc>
        <w:tc>
          <w:tcPr>
            <w:tcW w:w="1523" w:type="dxa"/>
            <w:tcBorders>
              <w:top w:val="nil"/>
              <w:bottom w:val="single" w:sz="4" w:space="0" w:color="7F7F7F" w:themeColor="text1" w:themeTint="80"/>
            </w:tcBorders>
            <w:vAlign w:val="center"/>
          </w:tcPr>
          <w:p w14:paraId="28985569" w14:textId="77777777" w:rsidR="00EC711B" w:rsidRPr="005529FB" w:rsidRDefault="00EC711B" w:rsidP="002A39D8">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sidRPr="005529FB">
              <w:rPr>
                <w:rFonts w:cs="Arial"/>
              </w:rPr>
              <w:t>Left hippocampus</w:t>
            </w:r>
          </w:p>
        </w:tc>
        <w:tc>
          <w:tcPr>
            <w:tcW w:w="1199" w:type="dxa"/>
            <w:vMerge/>
            <w:vAlign w:val="center"/>
          </w:tcPr>
          <w:p w14:paraId="77116EF7" w14:textId="77777777" w:rsidR="00EC711B" w:rsidRPr="005529FB" w:rsidRDefault="00EC711B"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604" w:type="dxa"/>
            <w:tcBorders>
              <w:top w:val="nil"/>
              <w:bottom w:val="single" w:sz="4" w:space="0" w:color="7F7F7F" w:themeColor="text1" w:themeTint="80"/>
            </w:tcBorders>
            <w:vAlign w:val="center"/>
          </w:tcPr>
          <w:p w14:paraId="72DAE10E" w14:textId="77777777" w:rsidR="00EC711B" w:rsidRPr="005529FB" w:rsidRDefault="00EC711B"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529FB">
              <w:rPr>
                <w:rFonts w:cs="Arial"/>
              </w:rPr>
              <w:t>3.09</w:t>
            </w:r>
            <w:r>
              <w:rPr>
                <w:rFonts w:cs="Arial"/>
              </w:rPr>
              <w:t xml:space="preserve"> (0.46)</w:t>
            </w:r>
          </w:p>
        </w:tc>
        <w:tc>
          <w:tcPr>
            <w:tcW w:w="1276" w:type="dxa"/>
            <w:vMerge/>
            <w:vAlign w:val="center"/>
          </w:tcPr>
          <w:p w14:paraId="51F8C282" w14:textId="77777777" w:rsidR="00EC711B" w:rsidRPr="005529FB" w:rsidRDefault="00EC711B"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701" w:type="dxa"/>
            <w:tcBorders>
              <w:top w:val="nil"/>
              <w:bottom w:val="single" w:sz="4" w:space="0" w:color="7F7F7F" w:themeColor="text1" w:themeTint="80"/>
            </w:tcBorders>
            <w:vAlign w:val="center"/>
          </w:tcPr>
          <w:p w14:paraId="4F4AC8C5" w14:textId="77777777" w:rsidR="00EC711B" w:rsidRPr="005529FB" w:rsidRDefault="00EC711B"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529FB">
              <w:rPr>
                <w:rFonts w:cs="Arial"/>
              </w:rPr>
              <w:t>3.06</w:t>
            </w:r>
            <w:r>
              <w:rPr>
                <w:rFonts w:cs="Arial"/>
              </w:rPr>
              <w:t xml:space="preserve"> (0.56)</w:t>
            </w:r>
          </w:p>
        </w:tc>
      </w:tr>
      <w:tr w:rsidR="00EC711B" w:rsidRPr="005529FB" w14:paraId="092529B7" w14:textId="77777777" w:rsidTr="002A3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gridSpan w:val="2"/>
            <w:vAlign w:val="center"/>
          </w:tcPr>
          <w:p w14:paraId="7604EF67" w14:textId="77777777" w:rsidR="00EC711B" w:rsidRPr="005529FB" w:rsidRDefault="00EC711B" w:rsidP="002A39D8">
            <w:pPr>
              <w:spacing w:line="360" w:lineRule="auto"/>
              <w:jc w:val="center"/>
              <w:rPr>
                <w:rFonts w:cs="Arial"/>
              </w:rPr>
            </w:pPr>
            <w:r w:rsidRPr="005529FB">
              <w:rPr>
                <w:rFonts w:cs="Arial"/>
              </w:rPr>
              <w:lastRenderedPageBreak/>
              <w:t xml:space="preserve">White matter </w:t>
            </w:r>
            <w:proofErr w:type="spellStart"/>
            <w:r w:rsidRPr="005529FB">
              <w:rPr>
                <w:rFonts w:cs="Arial"/>
              </w:rPr>
              <w:t>hyperintensity</w:t>
            </w:r>
            <w:proofErr w:type="spellEnd"/>
            <w:r w:rsidRPr="005529FB">
              <w:rPr>
                <w:rFonts w:cs="Arial"/>
              </w:rPr>
              <w:t xml:space="preserve"> volume (ml)</w:t>
            </w:r>
          </w:p>
        </w:tc>
        <w:tc>
          <w:tcPr>
            <w:tcW w:w="1199" w:type="dxa"/>
            <w:vAlign w:val="center"/>
          </w:tcPr>
          <w:p w14:paraId="36613DE7" w14:textId="77777777" w:rsidR="00EC711B" w:rsidRPr="005529FB"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5529FB">
              <w:rPr>
                <w:rFonts w:cs="Arial"/>
              </w:rPr>
              <w:t>678/1091 (62%)</w:t>
            </w:r>
          </w:p>
        </w:tc>
        <w:tc>
          <w:tcPr>
            <w:tcW w:w="1604" w:type="dxa"/>
            <w:vAlign w:val="center"/>
          </w:tcPr>
          <w:p w14:paraId="4B909EA9" w14:textId="77777777" w:rsidR="00EC711B" w:rsidRPr="005529FB"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5529FB">
              <w:rPr>
                <w:rFonts w:cs="Arial"/>
              </w:rPr>
              <w:t>7.70</w:t>
            </w:r>
            <w:r>
              <w:rPr>
                <w:rFonts w:cs="Arial"/>
              </w:rPr>
              <w:t xml:space="preserve"> (13.20)</w:t>
            </w:r>
          </w:p>
        </w:tc>
        <w:tc>
          <w:tcPr>
            <w:tcW w:w="1276" w:type="dxa"/>
            <w:vAlign w:val="center"/>
          </w:tcPr>
          <w:p w14:paraId="062387C6" w14:textId="77777777" w:rsidR="00EC711B" w:rsidRPr="005529FB"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5529FB">
              <w:rPr>
                <w:rFonts w:cs="Arial"/>
              </w:rPr>
              <w:t>120 / 189 (64%)</w:t>
            </w:r>
          </w:p>
        </w:tc>
        <w:tc>
          <w:tcPr>
            <w:tcW w:w="1701" w:type="dxa"/>
            <w:vAlign w:val="center"/>
          </w:tcPr>
          <w:p w14:paraId="1C1C6A42" w14:textId="77777777" w:rsidR="00EC711B" w:rsidRPr="005529FB"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6.44 (14.98)</w:t>
            </w:r>
          </w:p>
        </w:tc>
      </w:tr>
      <w:tr w:rsidR="00EC711B" w:rsidRPr="005529FB" w14:paraId="086432D9" w14:textId="77777777" w:rsidTr="002A39D8">
        <w:tc>
          <w:tcPr>
            <w:cnfStyle w:val="001000000000" w:firstRow="0" w:lastRow="0" w:firstColumn="1" w:lastColumn="0" w:oddVBand="0" w:evenVBand="0" w:oddHBand="0" w:evenHBand="0" w:firstRowFirstColumn="0" w:firstRowLastColumn="0" w:lastRowFirstColumn="0" w:lastRowLastColumn="0"/>
            <w:tcW w:w="1736" w:type="dxa"/>
            <w:vMerge w:val="restart"/>
            <w:vAlign w:val="center"/>
          </w:tcPr>
          <w:p w14:paraId="71BE0CBF" w14:textId="77777777" w:rsidR="00EC711B" w:rsidRPr="005529FB" w:rsidRDefault="00EC711B" w:rsidP="002A39D8">
            <w:pPr>
              <w:spacing w:line="360" w:lineRule="auto"/>
              <w:jc w:val="center"/>
              <w:rPr>
                <w:rFonts w:cs="Arial"/>
              </w:rPr>
            </w:pPr>
            <w:r w:rsidRPr="005529FB">
              <w:rPr>
                <w:rFonts w:cs="Arial"/>
              </w:rPr>
              <w:t>Cerebellar volume (ml)</w:t>
            </w:r>
            <w:r w:rsidRPr="00EC711B">
              <w:rPr>
                <w:rFonts w:cs="Arial"/>
                <w:b w:val="0"/>
                <w:sz w:val="20"/>
              </w:rPr>
              <w:t xml:space="preserve"> </w:t>
            </w:r>
            <w:r w:rsidRPr="00EC711B">
              <w:rPr>
                <w:rFonts w:cs="Arial"/>
              </w:rPr>
              <w:t>(†)</w:t>
            </w:r>
          </w:p>
        </w:tc>
        <w:tc>
          <w:tcPr>
            <w:tcW w:w="1523" w:type="dxa"/>
            <w:tcBorders>
              <w:top w:val="single" w:sz="4" w:space="0" w:color="7F7F7F" w:themeColor="text1" w:themeTint="80"/>
              <w:bottom w:val="nil"/>
            </w:tcBorders>
            <w:vAlign w:val="center"/>
          </w:tcPr>
          <w:p w14:paraId="22FBEF3A" w14:textId="77777777" w:rsidR="00EC711B" w:rsidRPr="005529FB" w:rsidRDefault="00EC711B" w:rsidP="002A39D8">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sidRPr="005529FB">
              <w:rPr>
                <w:rFonts w:cs="Arial"/>
              </w:rPr>
              <w:t>White matter right</w:t>
            </w:r>
          </w:p>
        </w:tc>
        <w:tc>
          <w:tcPr>
            <w:tcW w:w="1199" w:type="dxa"/>
            <w:vMerge w:val="restart"/>
            <w:vAlign w:val="center"/>
          </w:tcPr>
          <w:p w14:paraId="36155704" w14:textId="77777777" w:rsidR="00EC711B" w:rsidRPr="005529FB" w:rsidRDefault="00EC711B"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529FB">
              <w:rPr>
                <w:rFonts w:cs="Arial"/>
              </w:rPr>
              <w:t>647/1091 (59%)</w:t>
            </w:r>
          </w:p>
        </w:tc>
        <w:tc>
          <w:tcPr>
            <w:tcW w:w="1604" w:type="dxa"/>
            <w:tcBorders>
              <w:top w:val="single" w:sz="4" w:space="0" w:color="7F7F7F" w:themeColor="text1" w:themeTint="80"/>
              <w:bottom w:val="nil"/>
            </w:tcBorders>
            <w:vAlign w:val="center"/>
          </w:tcPr>
          <w:p w14:paraId="6BB81136" w14:textId="77777777" w:rsidR="00EC711B" w:rsidRPr="005529FB" w:rsidRDefault="00EC711B"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529FB">
              <w:rPr>
                <w:rFonts w:cs="Arial"/>
              </w:rPr>
              <w:t>11.36</w:t>
            </w:r>
            <w:r>
              <w:rPr>
                <w:rFonts w:cs="Arial"/>
              </w:rPr>
              <w:t xml:space="preserve"> (1.64)</w:t>
            </w:r>
          </w:p>
        </w:tc>
        <w:tc>
          <w:tcPr>
            <w:tcW w:w="1276" w:type="dxa"/>
            <w:vMerge w:val="restart"/>
            <w:vAlign w:val="center"/>
          </w:tcPr>
          <w:p w14:paraId="0F793FE1" w14:textId="77777777" w:rsidR="00EC711B" w:rsidRPr="005529FB" w:rsidRDefault="00EC711B"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529FB">
              <w:rPr>
                <w:rFonts w:cs="Arial"/>
              </w:rPr>
              <w:t>115 / 189 (61%)</w:t>
            </w:r>
          </w:p>
        </w:tc>
        <w:tc>
          <w:tcPr>
            <w:tcW w:w="1701" w:type="dxa"/>
            <w:tcBorders>
              <w:top w:val="single" w:sz="4" w:space="0" w:color="7F7F7F" w:themeColor="text1" w:themeTint="80"/>
              <w:bottom w:val="nil"/>
            </w:tcBorders>
            <w:vAlign w:val="center"/>
          </w:tcPr>
          <w:p w14:paraId="39944692" w14:textId="77777777" w:rsidR="00EC711B" w:rsidRPr="005529FB" w:rsidRDefault="00EC711B"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529FB">
              <w:rPr>
                <w:rFonts w:cs="Arial"/>
              </w:rPr>
              <w:t>11.51</w:t>
            </w:r>
            <w:r>
              <w:rPr>
                <w:rFonts w:cs="Arial"/>
              </w:rPr>
              <w:t xml:space="preserve"> (1.68)</w:t>
            </w:r>
          </w:p>
        </w:tc>
      </w:tr>
      <w:tr w:rsidR="00EC711B" w:rsidRPr="005529FB" w14:paraId="6B69CDA2" w14:textId="77777777" w:rsidTr="002A3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vMerge/>
            <w:vAlign w:val="center"/>
          </w:tcPr>
          <w:p w14:paraId="06FF6037" w14:textId="77777777" w:rsidR="00EC711B" w:rsidRPr="005529FB" w:rsidRDefault="00EC711B" w:rsidP="002A39D8">
            <w:pPr>
              <w:spacing w:line="360" w:lineRule="auto"/>
              <w:rPr>
                <w:rFonts w:cs="Arial"/>
              </w:rPr>
            </w:pPr>
          </w:p>
        </w:tc>
        <w:tc>
          <w:tcPr>
            <w:tcW w:w="1523" w:type="dxa"/>
            <w:tcBorders>
              <w:top w:val="nil"/>
              <w:bottom w:val="nil"/>
            </w:tcBorders>
            <w:vAlign w:val="center"/>
          </w:tcPr>
          <w:p w14:paraId="0E1AC5FF" w14:textId="77777777" w:rsidR="00EC711B" w:rsidRPr="005529FB" w:rsidRDefault="00EC711B" w:rsidP="002A39D8">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sidRPr="005529FB">
              <w:rPr>
                <w:rFonts w:cs="Arial"/>
              </w:rPr>
              <w:t>Cortex right</w:t>
            </w:r>
          </w:p>
        </w:tc>
        <w:tc>
          <w:tcPr>
            <w:tcW w:w="1199" w:type="dxa"/>
            <w:vMerge/>
            <w:vAlign w:val="center"/>
          </w:tcPr>
          <w:p w14:paraId="342A7AF7" w14:textId="77777777" w:rsidR="00EC711B" w:rsidRPr="005529FB"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604" w:type="dxa"/>
            <w:tcBorders>
              <w:top w:val="nil"/>
              <w:bottom w:val="nil"/>
            </w:tcBorders>
            <w:vAlign w:val="center"/>
          </w:tcPr>
          <w:p w14:paraId="5CBC1977" w14:textId="77777777" w:rsidR="00EC711B" w:rsidRPr="005529FB"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5529FB">
              <w:rPr>
                <w:rFonts w:cs="Arial"/>
              </w:rPr>
              <w:t>43.13</w:t>
            </w:r>
            <w:r>
              <w:rPr>
                <w:rFonts w:cs="Arial"/>
              </w:rPr>
              <w:t xml:space="preserve"> (4.78)</w:t>
            </w:r>
          </w:p>
        </w:tc>
        <w:tc>
          <w:tcPr>
            <w:tcW w:w="1276" w:type="dxa"/>
            <w:vMerge/>
            <w:vAlign w:val="center"/>
          </w:tcPr>
          <w:p w14:paraId="3729CBDD" w14:textId="77777777" w:rsidR="00EC711B" w:rsidRPr="005529FB"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701" w:type="dxa"/>
            <w:tcBorders>
              <w:top w:val="nil"/>
              <w:bottom w:val="nil"/>
            </w:tcBorders>
            <w:vAlign w:val="center"/>
          </w:tcPr>
          <w:p w14:paraId="597EAAC3" w14:textId="77777777" w:rsidR="00EC711B" w:rsidRPr="005529FB"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5529FB">
              <w:rPr>
                <w:rFonts w:cs="Arial"/>
              </w:rPr>
              <w:t>43.65</w:t>
            </w:r>
            <w:r>
              <w:rPr>
                <w:rFonts w:cs="Arial"/>
              </w:rPr>
              <w:t xml:space="preserve"> (4.95)</w:t>
            </w:r>
          </w:p>
        </w:tc>
      </w:tr>
      <w:tr w:rsidR="00EC711B" w:rsidRPr="005529FB" w14:paraId="777ED2E8" w14:textId="77777777" w:rsidTr="002A39D8">
        <w:tc>
          <w:tcPr>
            <w:cnfStyle w:val="001000000000" w:firstRow="0" w:lastRow="0" w:firstColumn="1" w:lastColumn="0" w:oddVBand="0" w:evenVBand="0" w:oddHBand="0" w:evenHBand="0" w:firstRowFirstColumn="0" w:firstRowLastColumn="0" w:lastRowFirstColumn="0" w:lastRowLastColumn="0"/>
            <w:tcW w:w="1736" w:type="dxa"/>
            <w:vMerge/>
            <w:vAlign w:val="center"/>
          </w:tcPr>
          <w:p w14:paraId="5502B50A" w14:textId="77777777" w:rsidR="00EC711B" w:rsidRPr="005529FB" w:rsidRDefault="00EC711B" w:rsidP="002A39D8">
            <w:pPr>
              <w:spacing w:line="360" w:lineRule="auto"/>
              <w:rPr>
                <w:rFonts w:cs="Arial"/>
              </w:rPr>
            </w:pPr>
          </w:p>
        </w:tc>
        <w:tc>
          <w:tcPr>
            <w:tcW w:w="1523" w:type="dxa"/>
            <w:tcBorders>
              <w:top w:val="nil"/>
              <w:bottom w:val="nil"/>
            </w:tcBorders>
            <w:vAlign w:val="center"/>
          </w:tcPr>
          <w:p w14:paraId="63E81DC4" w14:textId="77777777" w:rsidR="00EC711B" w:rsidRPr="005529FB" w:rsidRDefault="00EC711B" w:rsidP="002A39D8">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sidRPr="005529FB">
              <w:rPr>
                <w:rFonts w:cs="Arial"/>
              </w:rPr>
              <w:t>White matter left</w:t>
            </w:r>
          </w:p>
        </w:tc>
        <w:tc>
          <w:tcPr>
            <w:tcW w:w="1199" w:type="dxa"/>
            <w:vMerge/>
            <w:vAlign w:val="center"/>
          </w:tcPr>
          <w:p w14:paraId="5ACADFF0" w14:textId="77777777" w:rsidR="00EC711B" w:rsidRPr="005529FB" w:rsidRDefault="00EC711B"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604" w:type="dxa"/>
            <w:tcBorders>
              <w:top w:val="nil"/>
              <w:bottom w:val="nil"/>
            </w:tcBorders>
            <w:vAlign w:val="center"/>
          </w:tcPr>
          <w:p w14:paraId="33FDDE11" w14:textId="77777777" w:rsidR="00EC711B" w:rsidRPr="005529FB" w:rsidRDefault="00EC711B"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529FB">
              <w:rPr>
                <w:rFonts w:cs="Arial"/>
              </w:rPr>
              <w:t>11.32</w:t>
            </w:r>
            <w:r>
              <w:rPr>
                <w:rFonts w:cs="Arial"/>
              </w:rPr>
              <w:t xml:space="preserve"> (1.68)</w:t>
            </w:r>
          </w:p>
        </w:tc>
        <w:tc>
          <w:tcPr>
            <w:tcW w:w="1276" w:type="dxa"/>
            <w:vMerge/>
            <w:vAlign w:val="center"/>
          </w:tcPr>
          <w:p w14:paraId="2D3D10E3" w14:textId="77777777" w:rsidR="00EC711B" w:rsidRPr="005529FB" w:rsidRDefault="00EC711B"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701" w:type="dxa"/>
            <w:tcBorders>
              <w:top w:val="nil"/>
              <w:bottom w:val="nil"/>
            </w:tcBorders>
            <w:vAlign w:val="center"/>
          </w:tcPr>
          <w:p w14:paraId="1ABD9EB9" w14:textId="77777777" w:rsidR="00EC711B" w:rsidRPr="005529FB" w:rsidRDefault="00EC711B"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5529FB">
              <w:rPr>
                <w:rFonts w:cs="Arial"/>
              </w:rPr>
              <w:t>11.44</w:t>
            </w:r>
            <w:r>
              <w:rPr>
                <w:rFonts w:cs="Arial"/>
              </w:rPr>
              <w:t xml:space="preserve"> (1.72)</w:t>
            </w:r>
          </w:p>
        </w:tc>
      </w:tr>
      <w:tr w:rsidR="00EC711B" w:rsidRPr="005529FB" w14:paraId="5270C070" w14:textId="77777777" w:rsidTr="002A3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vMerge/>
            <w:vAlign w:val="center"/>
          </w:tcPr>
          <w:p w14:paraId="576DF4DB" w14:textId="77777777" w:rsidR="00EC711B" w:rsidRPr="005529FB" w:rsidRDefault="00EC711B" w:rsidP="002A39D8">
            <w:pPr>
              <w:spacing w:line="360" w:lineRule="auto"/>
              <w:rPr>
                <w:rFonts w:cs="Arial"/>
              </w:rPr>
            </w:pPr>
          </w:p>
        </w:tc>
        <w:tc>
          <w:tcPr>
            <w:tcW w:w="1523" w:type="dxa"/>
            <w:tcBorders>
              <w:top w:val="nil"/>
            </w:tcBorders>
            <w:vAlign w:val="center"/>
          </w:tcPr>
          <w:p w14:paraId="30576906" w14:textId="77777777" w:rsidR="00EC711B" w:rsidRPr="005529FB" w:rsidRDefault="00EC711B" w:rsidP="002A39D8">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sidRPr="005529FB">
              <w:rPr>
                <w:rFonts w:cs="Arial"/>
              </w:rPr>
              <w:t>Cortex left</w:t>
            </w:r>
          </w:p>
        </w:tc>
        <w:tc>
          <w:tcPr>
            <w:tcW w:w="1199" w:type="dxa"/>
            <w:vMerge/>
            <w:vAlign w:val="center"/>
          </w:tcPr>
          <w:p w14:paraId="2464E180" w14:textId="77777777" w:rsidR="00EC711B" w:rsidRPr="005529FB"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604" w:type="dxa"/>
            <w:tcBorders>
              <w:top w:val="nil"/>
            </w:tcBorders>
            <w:vAlign w:val="center"/>
          </w:tcPr>
          <w:p w14:paraId="4D2BA891" w14:textId="77777777" w:rsidR="00EC711B" w:rsidRPr="005529FB"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5529FB">
              <w:rPr>
                <w:rFonts w:cs="Arial"/>
              </w:rPr>
              <w:t>42.40</w:t>
            </w:r>
            <w:r>
              <w:rPr>
                <w:rFonts w:cs="Arial"/>
              </w:rPr>
              <w:t xml:space="preserve"> (4.70)</w:t>
            </w:r>
          </w:p>
        </w:tc>
        <w:tc>
          <w:tcPr>
            <w:tcW w:w="1276" w:type="dxa"/>
            <w:vMerge/>
            <w:vAlign w:val="center"/>
          </w:tcPr>
          <w:p w14:paraId="1EEE9DF1" w14:textId="77777777" w:rsidR="00EC711B" w:rsidRPr="005529FB"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1701" w:type="dxa"/>
            <w:tcBorders>
              <w:top w:val="nil"/>
            </w:tcBorders>
            <w:vAlign w:val="center"/>
          </w:tcPr>
          <w:p w14:paraId="432DE32B" w14:textId="77777777" w:rsidR="00EC711B" w:rsidRPr="005529FB" w:rsidRDefault="00EC711B"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5529FB">
              <w:rPr>
                <w:rFonts w:cs="Arial"/>
              </w:rPr>
              <w:t>42.50</w:t>
            </w:r>
            <w:r>
              <w:rPr>
                <w:rFonts w:cs="Arial"/>
              </w:rPr>
              <w:t xml:space="preserve"> (4.88)</w:t>
            </w:r>
          </w:p>
        </w:tc>
      </w:tr>
      <w:tr w:rsidR="00A81282" w:rsidRPr="005529FB" w14:paraId="3369D412" w14:textId="77777777" w:rsidTr="002A39D8">
        <w:tc>
          <w:tcPr>
            <w:cnfStyle w:val="001000000000" w:firstRow="0" w:lastRow="0" w:firstColumn="1" w:lastColumn="0" w:oddVBand="0" w:evenVBand="0" w:oddHBand="0" w:evenHBand="0" w:firstRowFirstColumn="0" w:firstRowLastColumn="0" w:lastRowFirstColumn="0" w:lastRowLastColumn="0"/>
            <w:tcW w:w="3259" w:type="dxa"/>
            <w:gridSpan w:val="2"/>
            <w:vAlign w:val="center"/>
          </w:tcPr>
          <w:p w14:paraId="4A935E08" w14:textId="77777777" w:rsidR="00A81282" w:rsidRPr="002A39D8" w:rsidRDefault="00A81282" w:rsidP="00D30947">
            <w:pPr>
              <w:spacing w:line="360" w:lineRule="auto"/>
              <w:jc w:val="center"/>
              <w:rPr>
                <w:rFonts w:cs="Arial"/>
              </w:rPr>
            </w:pPr>
            <w:r w:rsidRPr="002A39D8">
              <w:rPr>
                <w:rFonts w:cs="Arial"/>
              </w:rPr>
              <w:t>Cognitive variable</w:t>
            </w:r>
            <w:r w:rsidR="00C61F46" w:rsidRPr="002A39D8">
              <w:rPr>
                <w:rFonts w:cs="Arial"/>
              </w:rPr>
              <w:t xml:space="preserve">s </w:t>
            </w:r>
          </w:p>
        </w:tc>
        <w:tc>
          <w:tcPr>
            <w:tcW w:w="2803" w:type="dxa"/>
            <w:gridSpan w:val="2"/>
            <w:vAlign w:val="center"/>
          </w:tcPr>
          <w:p w14:paraId="128B2E7A" w14:textId="77777777" w:rsidR="00A81282" w:rsidRPr="005529FB" w:rsidRDefault="00A81282"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2977" w:type="dxa"/>
            <w:gridSpan w:val="2"/>
            <w:vAlign w:val="center"/>
          </w:tcPr>
          <w:p w14:paraId="0082C26F" w14:textId="77777777" w:rsidR="00A81282" w:rsidRPr="005529FB" w:rsidRDefault="00A81282"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r>
      <w:tr w:rsidR="00A81282" w:rsidRPr="005529FB" w14:paraId="0C7C6135" w14:textId="77777777" w:rsidTr="002A3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gridSpan w:val="2"/>
            <w:vAlign w:val="center"/>
          </w:tcPr>
          <w:p w14:paraId="7DF995C5" w14:textId="77777777" w:rsidR="00A81282" w:rsidRPr="005529FB" w:rsidRDefault="00A81282" w:rsidP="002A39D8">
            <w:pPr>
              <w:spacing w:line="360" w:lineRule="auto"/>
              <w:jc w:val="center"/>
              <w:rPr>
                <w:rFonts w:cs="Arial"/>
              </w:rPr>
            </w:pPr>
            <w:r>
              <w:rPr>
                <w:rFonts w:cs="Arial"/>
              </w:rPr>
              <w:t>g</w:t>
            </w:r>
          </w:p>
        </w:tc>
        <w:tc>
          <w:tcPr>
            <w:tcW w:w="1199" w:type="dxa"/>
            <w:vAlign w:val="center"/>
          </w:tcPr>
          <w:p w14:paraId="6AF3AD19" w14:textId="77777777" w:rsidR="00A81282" w:rsidRPr="005529FB" w:rsidRDefault="002A39D8"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856/1091</w:t>
            </w:r>
            <w:r w:rsidR="00D30947">
              <w:rPr>
                <w:rFonts w:cs="Arial"/>
              </w:rPr>
              <w:t xml:space="preserve"> (78%)</w:t>
            </w:r>
          </w:p>
        </w:tc>
        <w:tc>
          <w:tcPr>
            <w:tcW w:w="1604" w:type="dxa"/>
            <w:vAlign w:val="center"/>
          </w:tcPr>
          <w:p w14:paraId="21448A5A" w14:textId="77777777" w:rsidR="00A81282" w:rsidRPr="005529FB" w:rsidRDefault="00D30947"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0.04 (1.29)</w:t>
            </w:r>
          </w:p>
        </w:tc>
        <w:tc>
          <w:tcPr>
            <w:tcW w:w="1276" w:type="dxa"/>
            <w:vAlign w:val="center"/>
          </w:tcPr>
          <w:p w14:paraId="5D7C5252" w14:textId="77777777" w:rsidR="00A81282" w:rsidRPr="005529FB" w:rsidRDefault="00C61F46"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151</w:t>
            </w:r>
            <w:r w:rsidR="00242447">
              <w:rPr>
                <w:rFonts w:cs="Arial"/>
              </w:rPr>
              <w:t>/189 (80</w:t>
            </w:r>
            <w:r w:rsidR="00D30947">
              <w:rPr>
                <w:rFonts w:cs="Arial"/>
              </w:rPr>
              <w:t>%)</w:t>
            </w:r>
          </w:p>
        </w:tc>
        <w:tc>
          <w:tcPr>
            <w:tcW w:w="1701" w:type="dxa"/>
            <w:vAlign w:val="center"/>
          </w:tcPr>
          <w:p w14:paraId="056EF367" w14:textId="77777777" w:rsidR="00A81282" w:rsidRPr="005529FB" w:rsidRDefault="00C61F46"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0.07 (0.96)</w:t>
            </w:r>
            <w:r w:rsidR="00D30947" w:rsidRPr="00D30947">
              <w:rPr>
                <w:rFonts w:cs="Arial"/>
              </w:rPr>
              <w:t xml:space="preserve"> (†)</w:t>
            </w:r>
          </w:p>
        </w:tc>
      </w:tr>
      <w:tr w:rsidR="00A81282" w:rsidRPr="005529FB" w14:paraId="494D7662" w14:textId="77777777" w:rsidTr="002A39D8">
        <w:tc>
          <w:tcPr>
            <w:cnfStyle w:val="001000000000" w:firstRow="0" w:lastRow="0" w:firstColumn="1" w:lastColumn="0" w:oddVBand="0" w:evenVBand="0" w:oddHBand="0" w:evenHBand="0" w:firstRowFirstColumn="0" w:firstRowLastColumn="0" w:lastRowFirstColumn="0" w:lastRowLastColumn="0"/>
            <w:tcW w:w="3259" w:type="dxa"/>
            <w:gridSpan w:val="2"/>
            <w:vAlign w:val="center"/>
          </w:tcPr>
          <w:p w14:paraId="1AA9D6DE" w14:textId="77777777" w:rsidR="00A81282" w:rsidRPr="005529FB" w:rsidRDefault="00A81282" w:rsidP="002A39D8">
            <w:pPr>
              <w:spacing w:line="360" w:lineRule="auto"/>
              <w:jc w:val="center"/>
              <w:rPr>
                <w:rFonts w:cs="Arial"/>
              </w:rPr>
            </w:pPr>
            <w:r>
              <w:rPr>
                <w:rFonts w:cs="Arial"/>
              </w:rPr>
              <w:t>g-speed</w:t>
            </w:r>
          </w:p>
        </w:tc>
        <w:tc>
          <w:tcPr>
            <w:tcW w:w="1199" w:type="dxa"/>
            <w:vAlign w:val="center"/>
          </w:tcPr>
          <w:p w14:paraId="00A4C75D" w14:textId="77777777" w:rsidR="00A81282" w:rsidRDefault="002A39D8"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838/1091</w:t>
            </w:r>
          </w:p>
          <w:p w14:paraId="4C80DD8D" w14:textId="77777777" w:rsidR="00D30947" w:rsidRPr="005529FB" w:rsidRDefault="00D30947"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(77%)</w:t>
            </w:r>
          </w:p>
        </w:tc>
        <w:tc>
          <w:tcPr>
            <w:tcW w:w="1604" w:type="dxa"/>
            <w:vAlign w:val="center"/>
          </w:tcPr>
          <w:p w14:paraId="06C04EDB" w14:textId="77777777" w:rsidR="00A81282" w:rsidRPr="005529FB" w:rsidRDefault="00D30947"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0.11 (1.26)</w:t>
            </w:r>
          </w:p>
        </w:tc>
        <w:tc>
          <w:tcPr>
            <w:tcW w:w="1276" w:type="dxa"/>
            <w:vAlign w:val="center"/>
          </w:tcPr>
          <w:p w14:paraId="1A9DE454" w14:textId="77777777" w:rsidR="00A81282" w:rsidRPr="005529FB" w:rsidRDefault="00242447"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147/189 (78</w:t>
            </w:r>
            <w:r w:rsidR="00D30947">
              <w:rPr>
                <w:rFonts w:cs="Arial"/>
              </w:rPr>
              <w:t>%)</w:t>
            </w:r>
          </w:p>
        </w:tc>
        <w:tc>
          <w:tcPr>
            <w:tcW w:w="1701" w:type="dxa"/>
            <w:vAlign w:val="center"/>
          </w:tcPr>
          <w:p w14:paraId="364D29E8" w14:textId="77777777" w:rsidR="00A81282" w:rsidRPr="005529FB" w:rsidRDefault="00C61F46"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0.08 (0.93)</w:t>
            </w:r>
            <w:r w:rsidR="00D30947" w:rsidRPr="00D30947">
              <w:rPr>
                <w:rFonts w:cs="Arial"/>
              </w:rPr>
              <w:t xml:space="preserve"> (†)</w:t>
            </w:r>
          </w:p>
        </w:tc>
      </w:tr>
      <w:tr w:rsidR="00A81282" w:rsidRPr="005529FB" w14:paraId="76D9AB05" w14:textId="77777777" w:rsidTr="002A3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gridSpan w:val="2"/>
            <w:vAlign w:val="center"/>
          </w:tcPr>
          <w:p w14:paraId="3BC363EB" w14:textId="77777777" w:rsidR="00A81282" w:rsidRPr="005529FB" w:rsidRDefault="00A81282" w:rsidP="002A39D8">
            <w:pPr>
              <w:spacing w:line="360" w:lineRule="auto"/>
              <w:jc w:val="center"/>
              <w:rPr>
                <w:rFonts w:cs="Arial"/>
              </w:rPr>
            </w:pPr>
            <w:r>
              <w:rPr>
                <w:rFonts w:cs="Arial"/>
              </w:rPr>
              <w:t>g-memory</w:t>
            </w:r>
          </w:p>
        </w:tc>
        <w:tc>
          <w:tcPr>
            <w:tcW w:w="1199" w:type="dxa"/>
            <w:vAlign w:val="center"/>
          </w:tcPr>
          <w:p w14:paraId="51DD11CD" w14:textId="77777777" w:rsidR="00A81282" w:rsidRPr="005529FB" w:rsidRDefault="002A39D8"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840/1091</w:t>
            </w:r>
            <w:r w:rsidR="00D30947">
              <w:rPr>
                <w:rFonts w:cs="Arial"/>
              </w:rPr>
              <w:t xml:space="preserve"> (77%)</w:t>
            </w:r>
          </w:p>
        </w:tc>
        <w:tc>
          <w:tcPr>
            <w:tcW w:w="1604" w:type="dxa"/>
            <w:vAlign w:val="center"/>
          </w:tcPr>
          <w:p w14:paraId="2900C0BD" w14:textId="77777777" w:rsidR="00A81282" w:rsidRPr="005529FB" w:rsidRDefault="00D30947"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0.13 (1.34)</w:t>
            </w:r>
          </w:p>
        </w:tc>
        <w:tc>
          <w:tcPr>
            <w:tcW w:w="1276" w:type="dxa"/>
            <w:vAlign w:val="center"/>
          </w:tcPr>
          <w:p w14:paraId="1CEECF48" w14:textId="77777777" w:rsidR="00A81282" w:rsidRDefault="00242447"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148/189</w:t>
            </w:r>
          </w:p>
          <w:p w14:paraId="1092AE9D" w14:textId="77777777" w:rsidR="00D30947" w:rsidRPr="005529FB" w:rsidRDefault="00242447"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(78</w:t>
            </w:r>
            <w:r w:rsidR="00D30947">
              <w:rPr>
                <w:rFonts w:cs="Arial"/>
              </w:rPr>
              <w:t>%)</w:t>
            </w:r>
          </w:p>
        </w:tc>
        <w:tc>
          <w:tcPr>
            <w:tcW w:w="1701" w:type="dxa"/>
            <w:vAlign w:val="center"/>
          </w:tcPr>
          <w:p w14:paraId="66416C03" w14:textId="77777777" w:rsidR="00A81282" w:rsidRPr="005529FB" w:rsidRDefault="00C61F46" w:rsidP="002A39D8">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0.03 (0.89)</w:t>
            </w:r>
            <w:r w:rsidR="00D30947" w:rsidRPr="00D30947">
              <w:rPr>
                <w:rFonts w:cs="Arial"/>
              </w:rPr>
              <w:t xml:space="preserve"> (†)</w:t>
            </w:r>
          </w:p>
        </w:tc>
      </w:tr>
      <w:tr w:rsidR="00D30DAE" w:rsidRPr="005529FB" w14:paraId="709E3078" w14:textId="77777777" w:rsidTr="002A39D8">
        <w:tc>
          <w:tcPr>
            <w:cnfStyle w:val="001000000000" w:firstRow="0" w:lastRow="0" w:firstColumn="1" w:lastColumn="0" w:oddVBand="0" w:evenVBand="0" w:oddHBand="0" w:evenHBand="0" w:firstRowFirstColumn="0" w:firstRowLastColumn="0" w:lastRowFirstColumn="0" w:lastRowLastColumn="0"/>
            <w:tcW w:w="3259" w:type="dxa"/>
            <w:gridSpan w:val="2"/>
            <w:vAlign w:val="center"/>
          </w:tcPr>
          <w:p w14:paraId="1782C94B" w14:textId="77777777" w:rsidR="00D30DAE" w:rsidRDefault="00D30DAE" w:rsidP="002A39D8">
            <w:pPr>
              <w:spacing w:line="360" w:lineRule="auto"/>
              <w:jc w:val="center"/>
              <w:rPr>
                <w:rFonts w:cs="Arial"/>
              </w:rPr>
            </w:pPr>
            <w:r>
              <w:rPr>
                <w:rFonts w:cs="Arial"/>
              </w:rPr>
              <w:t>Age 11 IQ</w:t>
            </w:r>
            <w:r w:rsidR="00242447">
              <w:rPr>
                <w:rFonts w:cs="Arial"/>
              </w:rPr>
              <w:t xml:space="preserve"> (†)</w:t>
            </w:r>
          </w:p>
        </w:tc>
        <w:tc>
          <w:tcPr>
            <w:tcW w:w="1199" w:type="dxa"/>
            <w:vAlign w:val="center"/>
          </w:tcPr>
          <w:p w14:paraId="0F70FA12" w14:textId="77777777" w:rsidR="00D30DAE" w:rsidRDefault="00242447"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1028/1091</w:t>
            </w:r>
          </w:p>
          <w:p w14:paraId="7C364460" w14:textId="77777777" w:rsidR="00242447" w:rsidRDefault="00242447"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(94%)</w:t>
            </w:r>
          </w:p>
        </w:tc>
        <w:tc>
          <w:tcPr>
            <w:tcW w:w="1604" w:type="dxa"/>
            <w:vAlign w:val="center"/>
          </w:tcPr>
          <w:p w14:paraId="48EA0DC9" w14:textId="77777777" w:rsidR="00D30DAE" w:rsidRDefault="00242447"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100.00 (14.99)</w:t>
            </w:r>
          </w:p>
        </w:tc>
        <w:tc>
          <w:tcPr>
            <w:tcW w:w="1276" w:type="dxa"/>
            <w:vAlign w:val="center"/>
          </w:tcPr>
          <w:p w14:paraId="561FBC0C" w14:textId="77777777" w:rsidR="00D30DAE" w:rsidRDefault="00242447"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183/189</w:t>
            </w:r>
          </w:p>
          <w:p w14:paraId="1A7E0502" w14:textId="77777777" w:rsidR="00242447" w:rsidRDefault="00242447"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(7%)</w:t>
            </w:r>
          </w:p>
        </w:tc>
        <w:tc>
          <w:tcPr>
            <w:tcW w:w="1701" w:type="dxa"/>
            <w:vAlign w:val="center"/>
          </w:tcPr>
          <w:p w14:paraId="6F92DFBC" w14:textId="77777777" w:rsidR="00D30DAE" w:rsidRDefault="00242447" w:rsidP="002A39D8">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102.26 (13.62)</w:t>
            </w:r>
          </w:p>
        </w:tc>
      </w:tr>
    </w:tbl>
    <w:p w14:paraId="7FB6717D" w14:textId="77777777" w:rsidR="002F1EE2" w:rsidRPr="00DC51D5" w:rsidRDefault="00DC51D5" w:rsidP="002F1EE2">
      <w:pPr>
        <w:spacing w:line="360" w:lineRule="auto"/>
        <w:rPr>
          <w:rFonts w:cs="Arial"/>
          <w:i/>
          <w:sz w:val="20"/>
          <w:szCs w:val="20"/>
        </w:rPr>
      </w:pPr>
      <w:r w:rsidRPr="00DC51D5">
        <w:rPr>
          <w:rFonts w:cs="Arial"/>
          <w:i/>
          <w:sz w:val="20"/>
          <w:szCs w:val="20"/>
        </w:rPr>
        <w:t>Note: (†) refers to normally distributed variable data</w:t>
      </w:r>
    </w:p>
    <w:p w14:paraId="677D7793" w14:textId="77777777" w:rsidR="00B23F8C" w:rsidRPr="00B23F8C" w:rsidRDefault="00B23F8C" w:rsidP="00B23F8C">
      <w:pPr>
        <w:spacing w:before="120" w:after="120" w:line="360" w:lineRule="auto"/>
        <w:jc w:val="both"/>
        <w:rPr>
          <w:b/>
        </w:rPr>
      </w:pPr>
    </w:p>
    <w:p w14:paraId="536132F2" w14:textId="78803CD1" w:rsidR="00B23F8C" w:rsidRPr="00B23F8C" w:rsidRDefault="00117E7B" w:rsidP="00B23F8C">
      <w:pPr>
        <w:spacing w:before="120" w:after="120" w:line="360" w:lineRule="auto"/>
        <w:jc w:val="both"/>
        <w:rPr>
          <w:b/>
        </w:rPr>
      </w:pPr>
      <w:r>
        <w:rPr>
          <w:b/>
        </w:rPr>
        <w:t xml:space="preserve">3.1.2 </w:t>
      </w:r>
      <w:r w:rsidR="00B23F8C" w:rsidRPr="00B23F8C">
        <w:rPr>
          <w:b/>
        </w:rPr>
        <w:t>Iodine-rich foods and iodine intake</w:t>
      </w:r>
    </w:p>
    <w:p w14:paraId="746F35A2" w14:textId="67A98AAB" w:rsidR="00B23F8C" w:rsidRPr="00B23F8C" w:rsidRDefault="00951A20" w:rsidP="00B23F8C">
      <w:pPr>
        <w:spacing w:before="120" w:after="120" w:line="360" w:lineRule="auto"/>
        <w:jc w:val="both"/>
      </w:pPr>
      <w:r>
        <w:t xml:space="preserve">Total fish and dairy intake </w:t>
      </w:r>
      <w:r w:rsidR="00A81282">
        <w:t xml:space="preserve">for the whole </w:t>
      </w:r>
      <w:r w:rsidR="001C624B">
        <w:t>cohort</w:t>
      </w:r>
      <w:r w:rsidR="00A81282">
        <w:t xml:space="preserve"> is shown in Table 2</w:t>
      </w:r>
      <w:r>
        <w:t xml:space="preserve">. There was a broad range of intakes for most iodine-rich food groups, except shellfish, canned fish and fish-products (such as fish cakes and fish-containing pasties), which were consumed at a lower level, </w:t>
      </w:r>
      <w:r w:rsidR="008C031E">
        <w:t>and avoided by</w:t>
      </w:r>
      <w:r>
        <w:t xml:space="preserve"> </w:t>
      </w:r>
      <w:r w:rsidR="008C031E">
        <w:t>a large proportion</w:t>
      </w:r>
      <w:r>
        <w:t xml:space="preserve"> of the popul</w:t>
      </w:r>
      <w:r w:rsidR="0099151F">
        <w:t>ation under consideration (n=882</w:t>
      </w:r>
      <w:r>
        <w:t>).</w:t>
      </w:r>
      <w:r w:rsidR="00B23F8C" w:rsidRPr="00B23F8C">
        <w:t xml:space="preserve"> </w:t>
      </w:r>
    </w:p>
    <w:p w14:paraId="6FC31BAE" w14:textId="2801355C" w:rsidR="002379D6" w:rsidRDefault="002379D6" w:rsidP="009B7EFC">
      <w:pPr>
        <w:spacing w:before="120" w:after="120" w:line="360" w:lineRule="auto"/>
        <w:jc w:val="both"/>
      </w:pPr>
    </w:p>
    <w:p w14:paraId="2B09CFC2" w14:textId="77777777" w:rsidR="00A32F3C" w:rsidRDefault="00A32F3C" w:rsidP="002379D6"/>
    <w:p w14:paraId="32740E88" w14:textId="4465130E" w:rsidR="00A32F3C" w:rsidRPr="006718F6" w:rsidRDefault="00A32F3C" w:rsidP="00A32F3C">
      <w:pPr>
        <w:pStyle w:val="Caption"/>
        <w:keepNext/>
        <w:rPr>
          <w:color w:val="auto"/>
          <w:sz w:val="20"/>
        </w:rPr>
      </w:pPr>
      <w:r w:rsidRPr="006718F6">
        <w:rPr>
          <w:color w:val="auto"/>
          <w:sz w:val="20"/>
        </w:rPr>
        <w:t xml:space="preserve">Table </w:t>
      </w:r>
      <w:r w:rsidR="00A81282">
        <w:rPr>
          <w:color w:val="auto"/>
          <w:sz w:val="20"/>
        </w:rPr>
        <w:t>2</w:t>
      </w:r>
      <w:r w:rsidR="008E028D">
        <w:rPr>
          <w:color w:val="auto"/>
          <w:sz w:val="20"/>
        </w:rPr>
        <w:t>.</w:t>
      </w:r>
      <w:r w:rsidR="008C031E" w:rsidRPr="006718F6">
        <w:rPr>
          <w:color w:val="auto"/>
          <w:sz w:val="20"/>
        </w:rPr>
        <w:t xml:space="preserve"> D</w:t>
      </w:r>
      <w:r w:rsidRPr="006718F6">
        <w:rPr>
          <w:color w:val="auto"/>
          <w:sz w:val="20"/>
        </w:rPr>
        <w:t>istribution of iodine-rich food intake in the LBC36 cohort sample (n=</w:t>
      </w:r>
      <w:r w:rsidR="0099151F">
        <w:rPr>
          <w:color w:val="auto"/>
          <w:sz w:val="20"/>
        </w:rPr>
        <w:t>882</w:t>
      </w:r>
      <w:r w:rsidRPr="006718F6">
        <w:rPr>
          <w:color w:val="auto"/>
          <w:sz w:val="20"/>
        </w:rPr>
        <w:t>)</w:t>
      </w:r>
    </w:p>
    <w:tbl>
      <w:tblPr>
        <w:tblW w:w="5000" w:type="pct"/>
        <w:jc w:val="center"/>
        <w:tblLook w:val="04A0" w:firstRow="1" w:lastRow="0" w:firstColumn="1" w:lastColumn="0" w:noHBand="0" w:noVBand="1"/>
      </w:tblPr>
      <w:tblGrid>
        <w:gridCol w:w="1107"/>
        <w:gridCol w:w="567"/>
        <w:gridCol w:w="722"/>
        <w:gridCol w:w="732"/>
        <w:gridCol w:w="947"/>
        <w:gridCol w:w="909"/>
        <w:gridCol w:w="783"/>
        <w:gridCol w:w="737"/>
        <w:gridCol w:w="266"/>
        <w:gridCol w:w="767"/>
        <w:gridCol w:w="722"/>
        <w:gridCol w:w="767"/>
      </w:tblGrid>
      <w:tr w:rsidR="00A32F3C" w:rsidRPr="00A32F3C" w14:paraId="1188C48F" w14:textId="77777777" w:rsidTr="008C031E">
        <w:trPr>
          <w:trHeight w:val="300"/>
          <w:jc w:val="center"/>
        </w:trPr>
        <w:tc>
          <w:tcPr>
            <w:tcW w:w="632" w:type="pct"/>
            <w:tcBorders>
              <w:top w:val="single" w:sz="4" w:space="0" w:color="auto"/>
              <w:left w:val="nil"/>
              <w:bottom w:val="single" w:sz="4" w:space="0" w:color="auto"/>
              <w:right w:val="nil"/>
            </w:tcBorders>
            <w:shd w:val="clear" w:color="auto" w:fill="auto"/>
            <w:vAlign w:val="center"/>
            <w:hideMark/>
          </w:tcPr>
          <w:p w14:paraId="295E5511" w14:textId="77777777" w:rsidR="00A32F3C" w:rsidRPr="00A32F3C" w:rsidRDefault="00A32F3C" w:rsidP="00A32F3C">
            <w:pPr>
              <w:spacing w:after="0" w:line="240" w:lineRule="auto"/>
              <w:rPr>
                <w:rFonts w:ascii="Arial Bold" w:eastAsia="Times New Roman" w:hAnsi="Arial Bold" w:cs="Times New Roman"/>
                <w:b/>
                <w:bCs/>
                <w:color w:val="000000"/>
                <w:sz w:val="18"/>
                <w:szCs w:val="18"/>
              </w:rPr>
            </w:pPr>
            <w:r w:rsidRPr="00A32F3C">
              <w:rPr>
                <w:rFonts w:ascii="Arial Bold" w:eastAsia="Times New Roman" w:hAnsi="Arial Bold" w:cs="Times New Roman"/>
                <w:b/>
                <w:bCs/>
                <w:color w:val="000000"/>
                <w:sz w:val="18"/>
                <w:szCs w:val="18"/>
              </w:rPr>
              <w:t> </w:t>
            </w:r>
          </w:p>
        </w:tc>
        <w:tc>
          <w:tcPr>
            <w:tcW w:w="313" w:type="pct"/>
            <w:tcBorders>
              <w:top w:val="single" w:sz="4" w:space="0" w:color="auto"/>
              <w:left w:val="nil"/>
              <w:bottom w:val="single" w:sz="4" w:space="0" w:color="auto"/>
              <w:right w:val="nil"/>
            </w:tcBorders>
            <w:shd w:val="clear" w:color="auto" w:fill="auto"/>
            <w:vAlign w:val="center"/>
            <w:hideMark/>
          </w:tcPr>
          <w:p w14:paraId="22F248F7" w14:textId="77777777" w:rsidR="00A32F3C" w:rsidRPr="00A32F3C" w:rsidRDefault="00A32F3C" w:rsidP="00A32F3C">
            <w:pPr>
              <w:spacing w:after="0" w:line="240" w:lineRule="auto"/>
              <w:rPr>
                <w:rFonts w:ascii="Arial Bold" w:eastAsia="Times New Roman" w:hAnsi="Arial Bold" w:cs="Times New Roman"/>
                <w:b/>
                <w:bCs/>
                <w:color w:val="000000"/>
                <w:sz w:val="18"/>
                <w:szCs w:val="18"/>
              </w:rPr>
            </w:pPr>
            <w:r w:rsidRPr="00A32F3C">
              <w:rPr>
                <w:rFonts w:ascii="Arial Bold" w:eastAsia="Times New Roman" w:hAnsi="Arial Bold" w:cs="Times New Roman"/>
                <w:b/>
                <w:bCs/>
                <w:color w:val="000000"/>
                <w:sz w:val="18"/>
                <w:szCs w:val="18"/>
              </w:rPr>
              <w:t> </w:t>
            </w:r>
          </w:p>
        </w:tc>
        <w:tc>
          <w:tcPr>
            <w:tcW w:w="2690" w:type="pct"/>
            <w:gridSpan w:val="6"/>
            <w:tcBorders>
              <w:top w:val="single" w:sz="4" w:space="0" w:color="auto"/>
              <w:left w:val="nil"/>
              <w:bottom w:val="single" w:sz="4" w:space="0" w:color="auto"/>
              <w:right w:val="nil"/>
            </w:tcBorders>
            <w:shd w:val="clear" w:color="auto" w:fill="auto"/>
            <w:vAlign w:val="center"/>
            <w:hideMark/>
          </w:tcPr>
          <w:p w14:paraId="43E5F2C3" w14:textId="77777777" w:rsidR="00A32F3C" w:rsidRPr="00A32F3C" w:rsidRDefault="00A32F3C" w:rsidP="00A32F3C">
            <w:pPr>
              <w:spacing w:after="0" w:line="240" w:lineRule="auto"/>
              <w:jc w:val="center"/>
              <w:rPr>
                <w:rFonts w:ascii="Arial Bold" w:eastAsia="Times New Roman" w:hAnsi="Arial Bold" w:cs="Times New Roman"/>
                <w:b/>
                <w:bCs/>
                <w:color w:val="000000"/>
                <w:sz w:val="18"/>
                <w:szCs w:val="18"/>
              </w:rPr>
            </w:pPr>
            <w:r w:rsidRPr="00A32F3C">
              <w:rPr>
                <w:rFonts w:ascii="Arial Bold" w:eastAsia="Times New Roman" w:hAnsi="Arial Bold" w:cs="Times New Roman"/>
                <w:b/>
                <w:bCs/>
                <w:color w:val="000000"/>
                <w:sz w:val="18"/>
                <w:szCs w:val="18"/>
              </w:rPr>
              <w:t>Fish (g/day)</w:t>
            </w:r>
          </w:p>
        </w:tc>
        <w:tc>
          <w:tcPr>
            <w:tcW w:w="144" w:type="pct"/>
            <w:tcBorders>
              <w:top w:val="single" w:sz="4" w:space="0" w:color="auto"/>
              <w:left w:val="nil"/>
              <w:bottom w:val="nil"/>
              <w:right w:val="nil"/>
            </w:tcBorders>
            <w:shd w:val="clear" w:color="auto" w:fill="auto"/>
            <w:noWrap/>
            <w:vAlign w:val="bottom"/>
            <w:hideMark/>
          </w:tcPr>
          <w:p w14:paraId="679F042B" w14:textId="77777777" w:rsidR="00A32F3C" w:rsidRPr="00A32F3C" w:rsidRDefault="00A32F3C" w:rsidP="00A32F3C">
            <w:pPr>
              <w:spacing w:after="0" w:line="240" w:lineRule="auto"/>
              <w:rPr>
                <w:rFonts w:ascii="Calibri" w:eastAsia="Times New Roman" w:hAnsi="Calibri" w:cs="Times New Roman"/>
                <w:color w:val="000000"/>
              </w:rPr>
            </w:pPr>
            <w:r w:rsidRPr="00A32F3C">
              <w:rPr>
                <w:rFonts w:ascii="Calibri" w:eastAsia="Times New Roman" w:hAnsi="Calibri" w:cs="Times New Roman"/>
                <w:color w:val="000000"/>
              </w:rPr>
              <w:t> </w:t>
            </w:r>
          </w:p>
        </w:tc>
        <w:tc>
          <w:tcPr>
            <w:tcW w:w="1221" w:type="pct"/>
            <w:gridSpan w:val="3"/>
            <w:tcBorders>
              <w:top w:val="single" w:sz="4" w:space="0" w:color="auto"/>
              <w:left w:val="nil"/>
              <w:bottom w:val="single" w:sz="4" w:space="0" w:color="auto"/>
              <w:right w:val="nil"/>
            </w:tcBorders>
            <w:shd w:val="clear" w:color="auto" w:fill="auto"/>
            <w:vAlign w:val="center"/>
            <w:hideMark/>
          </w:tcPr>
          <w:p w14:paraId="5A6FE3F3" w14:textId="77777777" w:rsidR="00A32F3C" w:rsidRPr="00A32F3C" w:rsidRDefault="00A32F3C" w:rsidP="00A32F3C">
            <w:pPr>
              <w:spacing w:after="0" w:line="240" w:lineRule="auto"/>
              <w:jc w:val="center"/>
              <w:rPr>
                <w:rFonts w:ascii="Arial Bold" w:eastAsia="Times New Roman" w:hAnsi="Arial Bold" w:cs="Times New Roman"/>
                <w:b/>
                <w:bCs/>
                <w:color w:val="000000"/>
                <w:sz w:val="18"/>
                <w:szCs w:val="18"/>
              </w:rPr>
            </w:pPr>
            <w:r w:rsidRPr="00A32F3C">
              <w:rPr>
                <w:rFonts w:ascii="Arial Bold" w:eastAsia="Times New Roman" w:hAnsi="Arial Bold" w:cs="Times New Roman"/>
                <w:b/>
                <w:bCs/>
                <w:color w:val="000000"/>
                <w:sz w:val="18"/>
                <w:szCs w:val="18"/>
              </w:rPr>
              <w:t>Dairy (g/day)</w:t>
            </w:r>
          </w:p>
        </w:tc>
      </w:tr>
      <w:tr w:rsidR="00A32F3C" w:rsidRPr="00A32F3C" w14:paraId="40096CE1" w14:textId="77777777" w:rsidTr="008C031E">
        <w:trPr>
          <w:trHeight w:val="495"/>
          <w:jc w:val="center"/>
        </w:trPr>
        <w:tc>
          <w:tcPr>
            <w:tcW w:w="946" w:type="pct"/>
            <w:gridSpan w:val="2"/>
            <w:tcBorders>
              <w:top w:val="nil"/>
              <w:left w:val="nil"/>
              <w:bottom w:val="nil"/>
              <w:right w:val="nil"/>
            </w:tcBorders>
            <w:shd w:val="clear" w:color="auto" w:fill="auto"/>
            <w:vAlign w:val="bottom"/>
            <w:hideMark/>
          </w:tcPr>
          <w:p w14:paraId="46E96F46" w14:textId="77777777" w:rsidR="00A32F3C" w:rsidRPr="00A32F3C" w:rsidRDefault="00A32F3C" w:rsidP="00A32F3C">
            <w:pPr>
              <w:spacing w:after="0" w:line="240" w:lineRule="auto"/>
              <w:rPr>
                <w:rFonts w:ascii="Arial" w:eastAsia="Times New Roman" w:hAnsi="Arial" w:cs="Arial"/>
                <w:color w:val="000000"/>
                <w:sz w:val="18"/>
                <w:szCs w:val="18"/>
              </w:rPr>
            </w:pPr>
          </w:p>
        </w:tc>
        <w:tc>
          <w:tcPr>
            <w:tcW w:w="391" w:type="pct"/>
            <w:tcBorders>
              <w:top w:val="nil"/>
              <w:left w:val="nil"/>
              <w:bottom w:val="nil"/>
              <w:right w:val="nil"/>
            </w:tcBorders>
            <w:shd w:val="clear" w:color="auto" w:fill="auto"/>
            <w:vAlign w:val="center"/>
            <w:hideMark/>
          </w:tcPr>
          <w:p w14:paraId="045EBBA8" w14:textId="77777777" w:rsidR="00A32F3C" w:rsidRPr="00A32F3C" w:rsidRDefault="00A32F3C" w:rsidP="00A32F3C">
            <w:pPr>
              <w:spacing w:after="0" w:line="240" w:lineRule="auto"/>
              <w:jc w:val="center"/>
              <w:rPr>
                <w:rFonts w:ascii="Arial" w:eastAsia="Times New Roman" w:hAnsi="Arial" w:cs="Arial"/>
                <w:b/>
                <w:color w:val="000000"/>
                <w:sz w:val="18"/>
                <w:szCs w:val="18"/>
              </w:rPr>
            </w:pPr>
            <w:r w:rsidRPr="00A32F3C">
              <w:rPr>
                <w:rFonts w:ascii="Arial" w:eastAsia="Times New Roman" w:hAnsi="Arial" w:cs="Arial"/>
                <w:b/>
                <w:color w:val="000000"/>
                <w:sz w:val="18"/>
                <w:szCs w:val="18"/>
              </w:rPr>
              <w:t>White fish</w:t>
            </w:r>
          </w:p>
        </w:tc>
        <w:tc>
          <w:tcPr>
            <w:tcW w:w="396" w:type="pct"/>
            <w:tcBorders>
              <w:top w:val="nil"/>
              <w:left w:val="nil"/>
              <w:bottom w:val="nil"/>
              <w:right w:val="nil"/>
            </w:tcBorders>
            <w:shd w:val="clear" w:color="auto" w:fill="auto"/>
            <w:vAlign w:val="center"/>
            <w:hideMark/>
          </w:tcPr>
          <w:p w14:paraId="4151CCBC" w14:textId="77777777" w:rsidR="00A32F3C" w:rsidRPr="00A32F3C" w:rsidRDefault="00A32F3C" w:rsidP="00A32F3C">
            <w:pPr>
              <w:spacing w:after="0" w:line="240" w:lineRule="auto"/>
              <w:jc w:val="center"/>
              <w:rPr>
                <w:rFonts w:ascii="Arial" w:eastAsia="Times New Roman" w:hAnsi="Arial" w:cs="Arial"/>
                <w:b/>
                <w:color w:val="000000"/>
                <w:sz w:val="18"/>
                <w:szCs w:val="18"/>
              </w:rPr>
            </w:pPr>
            <w:r w:rsidRPr="00A32F3C">
              <w:rPr>
                <w:rFonts w:ascii="Arial" w:eastAsia="Times New Roman" w:hAnsi="Arial" w:cs="Arial"/>
                <w:b/>
                <w:color w:val="000000"/>
                <w:sz w:val="18"/>
                <w:szCs w:val="18"/>
              </w:rPr>
              <w:t>Oily fish</w:t>
            </w:r>
          </w:p>
        </w:tc>
        <w:tc>
          <w:tcPr>
            <w:tcW w:w="512" w:type="pct"/>
            <w:tcBorders>
              <w:top w:val="nil"/>
              <w:left w:val="nil"/>
              <w:bottom w:val="nil"/>
              <w:right w:val="nil"/>
            </w:tcBorders>
            <w:shd w:val="clear" w:color="auto" w:fill="auto"/>
            <w:vAlign w:val="center"/>
            <w:hideMark/>
          </w:tcPr>
          <w:p w14:paraId="7A2824AE" w14:textId="77777777" w:rsidR="00A32F3C" w:rsidRPr="00A32F3C" w:rsidRDefault="00A32F3C" w:rsidP="00A32F3C">
            <w:pPr>
              <w:spacing w:after="0" w:line="240" w:lineRule="auto"/>
              <w:jc w:val="center"/>
              <w:rPr>
                <w:rFonts w:ascii="Arial" w:eastAsia="Times New Roman" w:hAnsi="Arial" w:cs="Arial"/>
                <w:b/>
                <w:color w:val="000000"/>
                <w:sz w:val="18"/>
                <w:szCs w:val="18"/>
              </w:rPr>
            </w:pPr>
            <w:r w:rsidRPr="00A32F3C">
              <w:rPr>
                <w:rFonts w:ascii="Arial" w:eastAsia="Times New Roman" w:hAnsi="Arial" w:cs="Arial"/>
                <w:b/>
                <w:color w:val="000000"/>
                <w:sz w:val="18"/>
                <w:szCs w:val="18"/>
              </w:rPr>
              <w:t>shellfish</w:t>
            </w:r>
          </w:p>
        </w:tc>
        <w:tc>
          <w:tcPr>
            <w:tcW w:w="534" w:type="pct"/>
            <w:tcBorders>
              <w:top w:val="nil"/>
              <w:left w:val="nil"/>
              <w:bottom w:val="nil"/>
              <w:right w:val="nil"/>
            </w:tcBorders>
            <w:shd w:val="clear" w:color="auto" w:fill="auto"/>
            <w:vAlign w:val="center"/>
            <w:hideMark/>
          </w:tcPr>
          <w:p w14:paraId="711425FD" w14:textId="01BE9F6F" w:rsidR="00A32F3C" w:rsidRPr="00A32F3C" w:rsidRDefault="00A32F3C" w:rsidP="00A32F3C">
            <w:pPr>
              <w:spacing w:after="0" w:line="240" w:lineRule="auto"/>
              <w:jc w:val="center"/>
              <w:rPr>
                <w:rFonts w:ascii="Arial" w:eastAsia="Times New Roman" w:hAnsi="Arial" w:cs="Arial"/>
                <w:b/>
                <w:color w:val="000000"/>
                <w:sz w:val="18"/>
                <w:szCs w:val="18"/>
              </w:rPr>
            </w:pPr>
            <w:r w:rsidRPr="00A32F3C">
              <w:rPr>
                <w:rFonts w:ascii="Arial" w:eastAsia="Times New Roman" w:hAnsi="Arial" w:cs="Arial"/>
                <w:b/>
                <w:color w:val="000000"/>
                <w:sz w:val="18"/>
                <w:szCs w:val="18"/>
              </w:rPr>
              <w:t>fish pro</w:t>
            </w:r>
            <w:r w:rsidR="000F2C41">
              <w:rPr>
                <w:rFonts w:ascii="Arial" w:eastAsia="Times New Roman" w:hAnsi="Arial" w:cs="Arial"/>
                <w:b/>
                <w:color w:val="000000"/>
                <w:sz w:val="18"/>
                <w:szCs w:val="18"/>
              </w:rPr>
              <w:t>-</w:t>
            </w:r>
            <w:r w:rsidRPr="00A32F3C">
              <w:rPr>
                <w:rFonts w:ascii="Arial" w:eastAsia="Times New Roman" w:hAnsi="Arial" w:cs="Arial"/>
                <w:b/>
                <w:color w:val="000000"/>
                <w:sz w:val="18"/>
                <w:szCs w:val="18"/>
              </w:rPr>
              <w:t>ducts</w:t>
            </w:r>
          </w:p>
        </w:tc>
        <w:tc>
          <w:tcPr>
            <w:tcW w:w="458" w:type="pct"/>
            <w:tcBorders>
              <w:top w:val="nil"/>
              <w:left w:val="nil"/>
              <w:bottom w:val="nil"/>
              <w:right w:val="nil"/>
            </w:tcBorders>
            <w:shd w:val="clear" w:color="auto" w:fill="auto"/>
            <w:vAlign w:val="center"/>
            <w:hideMark/>
          </w:tcPr>
          <w:p w14:paraId="2D0241A3" w14:textId="4C12A131" w:rsidR="00A32F3C" w:rsidRPr="00A32F3C" w:rsidRDefault="000F2C41" w:rsidP="00A32F3C">
            <w:pPr>
              <w:spacing w:after="0" w:line="240" w:lineRule="auto"/>
              <w:jc w:val="center"/>
              <w:rPr>
                <w:rFonts w:ascii="Arial" w:eastAsia="Times New Roman" w:hAnsi="Arial" w:cs="Arial"/>
                <w:b/>
                <w:color w:val="000000"/>
                <w:sz w:val="18"/>
                <w:szCs w:val="18"/>
              </w:rPr>
            </w:pPr>
            <w:r w:rsidRPr="00A32F3C">
              <w:rPr>
                <w:rFonts w:ascii="Arial" w:eastAsia="Times New Roman" w:hAnsi="Arial" w:cs="Arial"/>
                <w:b/>
                <w:color w:val="000000"/>
                <w:sz w:val="18"/>
                <w:szCs w:val="18"/>
              </w:rPr>
              <w:t>C</w:t>
            </w:r>
            <w:r w:rsidR="00A32F3C" w:rsidRPr="00A32F3C">
              <w:rPr>
                <w:rFonts w:ascii="Arial" w:eastAsia="Times New Roman" w:hAnsi="Arial" w:cs="Arial"/>
                <w:b/>
                <w:color w:val="000000"/>
                <w:sz w:val="18"/>
                <w:szCs w:val="18"/>
              </w:rPr>
              <w:t>an</w:t>
            </w:r>
            <w:r>
              <w:rPr>
                <w:rFonts w:ascii="Arial" w:eastAsia="Times New Roman" w:hAnsi="Arial" w:cs="Arial"/>
                <w:b/>
                <w:color w:val="000000"/>
                <w:sz w:val="18"/>
                <w:szCs w:val="18"/>
              </w:rPr>
              <w:t>-</w:t>
            </w:r>
            <w:r w:rsidR="00A32F3C" w:rsidRPr="00A32F3C">
              <w:rPr>
                <w:rFonts w:ascii="Arial" w:eastAsia="Times New Roman" w:hAnsi="Arial" w:cs="Arial"/>
                <w:b/>
                <w:color w:val="000000"/>
                <w:sz w:val="18"/>
                <w:szCs w:val="18"/>
              </w:rPr>
              <w:t>ned fish</w:t>
            </w:r>
          </w:p>
        </w:tc>
        <w:tc>
          <w:tcPr>
            <w:tcW w:w="399" w:type="pct"/>
            <w:tcBorders>
              <w:top w:val="nil"/>
              <w:left w:val="nil"/>
              <w:bottom w:val="nil"/>
              <w:right w:val="nil"/>
            </w:tcBorders>
            <w:shd w:val="clear" w:color="auto" w:fill="auto"/>
            <w:vAlign w:val="center"/>
            <w:hideMark/>
          </w:tcPr>
          <w:p w14:paraId="4A9CE541" w14:textId="77777777" w:rsidR="00A32F3C" w:rsidRPr="00A32F3C" w:rsidRDefault="00A32F3C" w:rsidP="00A32F3C">
            <w:pPr>
              <w:spacing w:after="0" w:line="240" w:lineRule="auto"/>
              <w:jc w:val="center"/>
              <w:rPr>
                <w:rFonts w:ascii="Arial" w:eastAsia="Times New Roman" w:hAnsi="Arial" w:cs="Arial"/>
                <w:b/>
                <w:color w:val="000000"/>
                <w:sz w:val="18"/>
                <w:szCs w:val="18"/>
              </w:rPr>
            </w:pPr>
            <w:r w:rsidRPr="00A32F3C">
              <w:rPr>
                <w:rFonts w:ascii="Arial" w:eastAsia="Times New Roman" w:hAnsi="Arial" w:cs="Arial"/>
                <w:b/>
                <w:color w:val="000000"/>
                <w:sz w:val="18"/>
                <w:szCs w:val="18"/>
              </w:rPr>
              <w:t>Total fish intake</w:t>
            </w:r>
          </w:p>
        </w:tc>
        <w:tc>
          <w:tcPr>
            <w:tcW w:w="144" w:type="pct"/>
            <w:tcBorders>
              <w:top w:val="nil"/>
              <w:left w:val="nil"/>
              <w:bottom w:val="nil"/>
              <w:right w:val="nil"/>
            </w:tcBorders>
            <w:shd w:val="clear" w:color="auto" w:fill="auto"/>
            <w:noWrap/>
            <w:vAlign w:val="center"/>
            <w:hideMark/>
          </w:tcPr>
          <w:p w14:paraId="0013BCB1" w14:textId="77777777" w:rsidR="00A32F3C" w:rsidRPr="00A32F3C" w:rsidRDefault="00A32F3C" w:rsidP="00A32F3C">
            <w:pPr>
              <w:spacing w:after="0" w:line="240" w:lineRule="auto"/>
              <w:jc w:val="center"/>
              <w:rPr>
                <w:rFonts w:ascii="Calibri" w:eastAsia="Times New Roman" w:hAnsi="Calibri" w:cs="Times New Roman"/>
                <w:b/>
                <w:color w:val="000000"/>
              </w:rPr>
            </w:pPr>
          </w:p>
        </w:tc>
        <w:tc>
          <w:tcPr>
            <w:tcW w:w="415" w:type="pct"/>
            <w:tcBorders>
              <w:top w:val="nil"/>
              <w:left w:val="nil"/>
              <w:bottom w:val="nil"/>
              <w:right w:val="nil"/>
            </w:tcBorders>
            <w:shd w:val="clear" w:color="auto" w:fill="auto"/>
            <w:vAlign w:val="center"/>
            <w:hideMark/>
          </w:tcPr>
          <w:p w14:paraId="103A901F" w14:textId="77777777" w:rsidR="00A32F3C" w:rsidRPr="00A32F3C" w:rsidRDefault="00A32F3C" w:rsidP="00A32F3C">
            <w:pPr>
              <w:spacing w:after="0" w:line="240" w:lineRule="auto"/>
              <w:jc w:val="center"/>
              <w:rPr>
                <w:rFonts w:ascii="Arial" w:eastAsia="Times New Roman" w:hAnsi="Arial" w:cs="Arial"/>
                <w:b/>
                <w:color w:val="000000"/>
                <w:sz w:val="18"/>
                <w:szCs w:val="18"/>
              </w:rPr>
            </w:pPr>
            <w:r w:rsidRPr="00A32F3C">
              <w:rPr>
                <w:rFonts w:ascii="Arial" w:eastAsia="Times New Roman" w:hAnsi="Arial" w:cs="Arial"/>
                <w:b/>
                <w:color w:val="000000"/>
                <w:sz w:val="18"/>
                <w:szCs w:val="18"/>
              </w:rPr>
              <w:t>Milk</w:t>
            </w:r>
          </w:p>
        </w:tc>
        <w:tc>
          <w:tcPr>
            <w:tcW w:w="391" w:type="pct"/>
            <w:tcBorders>
              <w:top w:val="nil"/>
              <w:left w:val="nil"/>
              <w:bottom w:val="nil"/>
              <w:right w:val="nil"/>
            </w:tcBorders>
            <w:shd w:val="clear" w:color="auto" w:fill="auto"/>
            <w:vAlign w:val="center"/>
            <w:hideMark/>
          </w:tcPr>
          <w:p w14:paraId="31B7A31F" w14:textId="77777777" w:rsidR="00A32F3C" w:rsidRPr="00A32F3C" w:rsidRDefault="00A32F3C" w:rsidP="00A32F3C">
            <w:pPr>
              <w:spacing w:after="0" w:line="240" w:lineRule="auto"/>
              <w:jc w:val="center"/>
              <w:rPr>
                <w:rFonts w:ascii="Arial" w:eastAsia="Times New Roman" w:hAnsi="Arial" w:cs="Arial"/>
                <w:b/>
                <w:color w:val="000000"/>
                <w:sz w:val="18"/>
                <w:szCs w:val="18"/>
              </w:rPr>
            </w:pPr>
            <w:r w:rsidRPr="00A32F3C">
              <w:rPr>
                <w:rFonts w:ascii="Arial" w:eastAsia="Times New Roman" w:hAnsi="Arial" w:cs="Arial"/>
                <w:b/>
                <w:color w:val="000000"/>
                <w:sz w:val="18"/>
                <w:szCs w:val="18"/>
              </w:rPr>
              <w:t>other dairy</w:t>
            </w:r>
          </w:p>
        </w:tc>
        <w:tc>
          <w:tcPr>
            <w:tcW w:w="415" w:type="pct"/>
            <w:tcBorders>
              <w:top w:val="nil"/>
              <w:left w:val="nil"/>
              <w:bottom w:val="nil"/>
              <w:right w:val="nil"/>
            </w:tcBorders>
            <w:shd w:val="clear" w:color="auto" w:fill="auto"/>
            <w:vAlign w:val="center"/>
            <w:hideMark/>
          </w:tcPr>
          <w:p w14:paraId="6CF9A3AF" w14:textId="77777777" w:rsidR="00A32F3C" w:rsidRPr="00A32F3C" w:rsidRDefault="00A32F3C" w:rsidP="00A32F3C">
            <w:pPr>
              <w:spacing w:after="0" w:line="240" w:lineRule="auto"/>
              <w:jc w:val="center"/>
              <w:rPr>
                <w:rFonts w:ascii="Arial" w:eastAsia="Times New Roman" w:hAnsi="Arial" w:cs="Arial"/>
                <w:b/>
                <w:color w:val="000000"/>
                <w:sz w:val="18"/>
                <w:szCs w:val="18"/>
              </w:rPr>
            </w:pPr>
            <w:r w:rsidRPr="00A32F3C">
              <w:rPr>
                <w:rFonts w:ascii="Arial" w:eastAsia="Times New Roman" w:hAnsi="Arial" w:cs="Arial"/>
                <w:b/>
                <w:color w:val="000000"/>
                <w:sz w:val="18"/>
                <w:szCs w:val="18"/>
              </w:rPr>
              <w:t>All dairy</w:t>
            </w:r>
          </w:p>
        </w:tc>
      </w:tr>
      <w:tr w:rsidR="008C031E" w:rsidRPr="00A32F3C" w14:paraId="2A01F7CF" w14:textId="77777777" w:rsidTr="008C031E">
        <w:trPr>
          <w:trHeight w:val="300"/>
          <w:jc w:val="center"/>
        </w:trPr>
        <w:tc>
          <w:tcPr>
            <w:tcW w:w="946" w:type="pct"/>
            <w:gridSpan w:val="2"/>
            <w:tcBorders>
              <w:top w:val="nil"/>
              <w:left w:val="nil"/>
              <w:bottom w:val="nil"/>
              <w:right w:val="nil"/>
            </w:tcBorders>
            <w:shd w:val="clear" w:color="auto" w:fill="auto"/>
            <w:hideMark/>
          </w:tcPr>
          <w:p w14:paraId="44A2DAC4" w14:textId="77777777" w:rsidR="008C031E" w:rsidRPr="008C031E" w:rsidRDefault="008C031E" w:rsidP="00A32F3C">
            <w:pPr>
              <w:spacing w:after="0" w:line="240" w:lineRule="auto"/>
              <w:rPr>
                <w:rFonts w:ascii="Arial" w:eastAsia="Times New Roman" w:hAnsi="Arial" w:cs="Arial"/>
                <w:i/>
                <w:color w:val="000000"/>
                <w:sz w:val="18"/>
                <w:szCs w:val="18"/>
              </w:rPr>
            </w:pPr>
            <w:r w:rsidRPr="008C031E">
              <w:rPr>
                <w:rFonts w:ascii="Arial" w:eastAsia="Times New Roman" w:hAnsi="Arial" w:cs="Arial"/>
                <w:i/>
                <w:color w:val="000000"/>
                <w:sz w:val="18"/>
                <w:szCs w:val="18"/>
              </w:rPr>
              <w:t>Complete data</w:t>
            </w:r>
          </w:p>
        </w:tc>
        <w:tc>
          <w:tcPr>
            <w:tcW w:w="391" w:type="pct"/>
            <w:tcBorders>
              <w:top w:val="nil"/>
              <w:left w:val="nil"/>
              <w:bottom w:val="single" w:sz="4" w:space="0" w:color="auto"/>
              <w:right w:val="nil"/>
            </w:tcBorders>
            <w:shd w:val="clear" w:color="auto" w:fill="auto"/>
            <w:noWrap/>
            <w:vAlign w:val="center"/>
            <w:hideMark/>
          </w:tcPr>
          <w:p w14:paraId="36AF61AD" w14:textId="77777777" w:rsidR="008C031E" w:rsidRPr="00A32F3C" w:rsidRDefault="008C031E" w:rsidP="00A32F3C">
            <w:pPr>
              <w:spacing w:after="0" w:line="240" w:lineRule="auto"/>
              <w:jc w:val="center"/>
              <w:rPr>
                <w:rFonts w:ascii="Arial" w:eastAsia="Times New Roman" w:hAnsi="Arial" w:cs="Arial"/>
                <w:i/>
                <w:color w:val="000000"/>
                <w:sz w:val="18"/>
                <w:szCs w:val="18"/>
              </w:rPr>
            </w:pPr>
            <w:r w:rsidRPr="00A32F3C">
              <w:rPr>
                <w:rFonts w:ascii="Arial" w:eastAsia="Times New Roman" w:hAnsi="Arial" w:cs="Arial"/>
                <w:i/>
                <w:color w:val="000000"/>
                <w:sz w:val="18"/>
                <w:szCs w:val="18"/>
              </w:rPr>
              <w:t>n=870</w:t>
            </w:r>
          </w:p>
        </w:tc>
        <w:tc>
          <w:tcPr>
            <w:tcW w:w="396" w:type="pct"/>
            <w:tcBorders>
              <w:top w:val="nil"/>
              <w:left w:val="nil"/>
              <w:bottom w:val="single" w:sz="4" w:space="0" w:color="auto"/>
              <w:right w:val="nil"/>
            </w:tcBorders>
            <w:shd w:val="clear" w:color="auto" w:fill="auto"/>
            <w:noWrap/>
            <w:vAlign w:val="center"/>
            <w:hideMark/>
          </w:tcPr>
          <w:p w14:paraId="014306D6" w14:textId="77777777" w:rsidR="008C031E" w:rsidRPr="00A32F3C" w:rsidRDefault="008C031E" w:rsidP="00A32F3C">
            <w:pPr>
              <w:spacing w:after="0" w:line="240" w:lineRule="auto"/>
              <w:jc w:val="center"/>
              <w:rPr>
                <w:rFonts w:ascii="Arial" w:eastAsia="Times New Roman" w:hAnsi="Arial" w:cs="Arial"/>
                <w:i/>
                <w:color w:val="000000"/>
                <w:sz w:val="18"/>
                <w:szCs w:val="18"/>
              </w:rPr>
            </w:pPr>
            <w:r w:rsidRPr="00A32F3C">
              <w:rPr>
                <w:rFonts w:ascii="Arial" w:eastAsia="Times New Roman" w:hAnsi="Arial" w:cs="Arial"/>
                <w:i/>
                <w:color w:val="000000"/>
                <w:sz w:val="18"/>
                <w:szCs w:val="18"/>
              </w:rPr>
              <w:t>n=864</w:t>
            </w:r>
          </w:p>
        </w:tc>
        <w:tc>
          <w:tcPr>
            <w:tcW w:w="512" w:type="pct"/>
            <w:tcBorders>
              <w:top w:val="nil"/>
              <w:left w:val="nil"/>
              <w:bottom w:val="single" w:sz="4" w:space="0" w:color="auto"/>
              <w:right w:val="nil"/>
            </w:tcBorders>
            <w:shd w:val="clear" w:color="auto" w:fill="auto"/>
            <w:noWrap/>
            <w:vAlign w:val="center"/>
            <w:hideMark/>
          </w:tcPr>
          <w:p w14:paraId="036A032F" w14:textId="77777777" w:rsidR="008C031E" w:rsidRPr="00A32F3C" w:rsidRDefault="008C031E" w:rsidP="00A32F3C">
            <w:pPr>
              <w:spacing w:after="0" w:line="240" w:lineRule="auto"/>
              <w:jc w:val="center"/>
              <w:rPr>
                <w:rFonts w:ascii="Arial" w:eastAsia="Times New Roman" w:hAnsi="Arial" w:cs="Arial"/>
                <w:i/>
                <w:color w:val="000000"/>
                <w:sz w:val="18"/>
                <w:szCs w:val="18"/>
              </w:rPr>
            </w:pPr>
            <w:r w:rsidRPr="00A32F3C">
              <w:rPr>
                <w:rFonts w:ascii="Arial" w:eastAsia="Times New Roman" w:hAnsi="Arial" w:cs="Arial"/>
                <w:i/>
                <w:color w:val="000000"/>
                <w:sz w:val="18"/>
                <w:szCs w:val="18"/>
              </w:rPr>
              <w:t>n=872</w:t>
            </w:r>
          </w:p>
        </w:tc>
        <w:tc>
          <w:tcPr>
            <w:tcW w:w="534" w:type="pct"/>
            <w:tcBorders>
              <w:top w:val="nil"/>
              <w:left w:val="nil"/>
              <w:bottom w:val="single" w:sz="4" w:space="0" w:color="auto"/>
              <w:right w:val="nil"/>
            </w:tcBorders>
            <w:shd w:val="clear" w:color="auto" w:fill="auto"/>
            <w:noWrap/>
            <w:vAlign w:val="center"/>
            <w:hideMark/>
          </w:tcPr>
          <w:p w14:paraId="1508C179" w14:textId="77777777" w:rsidR="008C031E" w:rsidRPr="00A32F3C" w:rsidRDefault="008C031E" w:rsidP="00A32F3C">
            <w:pPr>
              <w:spacing w:after="0" w:line="240" w:lineRule="auto"/>
              <w:jc w:val="center"/>
              <w:rPr>
                <w:rFonts w:ascii="Arial" w:eastAsia="Times New Roman" w:hAnsi="Arial" w:cs="Arial"/>
                <w:i/>
                <w:color w:val="000000"/>
                <w:sz w:val="18"/>
                <w:szCs w:val="18"/>
              </w:rPr>
            </w:pPr>
            <w:r w:rsidRPr="00A32F3C">
              <w:rPr>
                <w:rFonts w:ascii="Arial" w:eastAsia="Times New Roman" w:hAnsi="Arial" w:cs="Arial"/>
                <w:i/>
                <w:color w:val="000000"/>
                <w:sz w:val="18"/>
                <w:szCs w:val="18"/>
              </w:rPr>
              <w:t>n=877</w:t>
            </w:r>
          </w:p>
        </w:tc>
        <w:tc>
          <w:tcPr>
            <w:tcW w:w="458" w:type="pct"/>
            <w:tcBorders>
              <w:top w:val="nil"/>
              <w:left w:val="nil"/>
              <w:bottom w:val="single" w:sz="4" w:space="0" w:color="auto"/>
              <w:right w:val="nil"/>
            </w:tcBorders>
            <w:shd w:val="clear" w:color="auto" w:fill="auto"/>
            <w:noWrap/>
            <w:vAlign w:val="center"/>
            <w:hideMark/>
          </w:tcPr>
          <w:p w14:paraId="0BF3020E" w14:textId="77777777" w:rsidR="008C031E" w:rsidRPr="00A32F3C" w:rsidRDefault="008C031E" w:rsidP="00A32F3C">
            <w:pPr>
              <w:spacing w:after="0" w:line="240" w:lineRule="auto"/>
              <w:jc w:val="center"/>
              <w:rPr>
                <w:rFonts w:ascii="Arial" w:eastAsia="Times New Roman" w:hAnsi="Arial" w:cs="Arial"/>
                <w:i/>
                <w:color w:val="000000"/>
                <w:sz w:val="18"/>
                <w:szCs w:val="18"/>
              </w:rPr>
            </w:pPr>
            <w:r w:rsidRPr="00A32F3C">
              <w:rPr>
                <w:rFonts w:ascii="Arial" w:eastAsia="Times New Roman" w:hAnsi="Arial" w:cs="Arial"/>
                <w:i/>
                <w:color w:val="000000"/>
                <w:sz w:val="18"/>
                <w:szCs w:val="18"/>
              </w:rPr>
              <w:t>n=874</w:t>
            </w:r>
          </w:p>
        </w:tc>
        <w:tc>
          <w:tcPr>
            <w:tcW w:w="399" w:type="pct"/>
            <w:tcBorders>
              <w:top w:val="nil"/>
              <w:left w:val="nil"/>
              <w:bottom w:val="single" w:sz="4" w:space="0" w:color="auto"/>
              <w:right w:val="nil"/>
            </w:tcBorders>
            <w:shd w:val="clear" w:color="auto" w:fill="auto"/>
            <w:noWrap/>
            <w:vAlign w:val="center"/>
            <w:hideMark/>
          </w:tcPr>
          <w:p w14:paraId="04A2850C" w14:textId="77777777" w:rsidR="008C031E" w:rsidRPr="00A32F3C" w:rsidRDefault="008C031E" w:rsidP="00A32F3C">
            <w:pPr>
              <w:spacing w:after="0" w:line="240" w:lineRule="auto"/>
              <w:jc w:val="center"/>
              <w:rPr>
                <w:rFonts w:ascii="Arial" w:eastAsia="Times New Roman" w:hAnsi="Arial" w:cs="Arial"/>
                <w:i/>
                <w:color w:val="000000"/>
                <w:sz w:val="18"/>
                <w:szCs w:val="18"/>
              </w:rPr>
            </w:pPr>
            <w:r w:rsidRPr="00A32F3C">
              <w:rPr>
                <w:rFonts w:ascii="Arial" w:eastAsia="Times New Roman" w:hAnsi="Arial" w:cs="Arial"/>
                <w:i/>
                <w:color w:val="000000"/>
                <w:sz w:val="18"/>
                <w:szCs w:val="18"/>
              </w:rPr>
              <w:t>n=849</w:t>
            </w:r>
          </w:p>
        </w:tc>
        <w:tc>
          <w:tcPr>
            <w:tcW w:w="144" w:type="pct"/>
            <w:tcBorders>
              <w:top w:val="nil"/>
              <w:left w:val="nil"/>
              <w:bottom w:val="nil"/>
              <w:right w:val="nil"/>
            </w:tcBorders>
            <w:shd w:val="clear" w:color="auto" w:fill="auto"/>
            <w:noWrap/>
            <w:vAlign w:val="center"/>
            <w:hideMark/>
          </w:tcPr>
          <w:p w14:paraId="69D6DE9A" w14:textId="77777777" w:rsidR="008C031E" w:rsidRPr="00A32F3C" w:rsidRDefault="008C031E" w:rsidP="00A32F3C">
            <w:pPr>
              <w:spacing w:after="0" w:line="240" w:lineRule="auto"/>
              <w:jc w:val="center"/>
              <w:rPr>
                <w:rFonts w:ascii="Calibri" w:eastAsia="Times New Roman" w:hAnsi="Calibri" w:cs="Times New Roman"/>
                <w:i/>
                <w:color w:val="000000"/>
              </w:rPr>
            </w:pPr>
          </w:p>
        </w:tc>
        <w:tc>
          <w:tcPr>
            <w:tcW w:w="415" w:type="pct"/>
            <w:tcBorders>
              <w:top w:val="nil"/>
              <w:left w:val="nil"/>
              <w:bottom w:val="single" w:sz="4" w:space="0" w:color="auto"/>
              <w:right w:val="nil"/>
            </w:tcBorders>
            <w:shd w:val="clear" w:color="auto" w:fill="auto"/>
            <w:noWrap/>
            <w:vAlign w:val="center"/>
            <w:hideMark/>
          </w:tcPr>
          <w:p w14:paraId="7326A3A6" w14:textId="77777777" w:rsidR="008C031E" w:rsidRPr="00A32F3C" w:rsidRDefault="008C031E" w:rsidP="00A32F3C">
            <w:pPr>
              <w:spacing w:after="0" w:line="240" w:lineRule="auto"/>
              <w:jc w:val="center"/>
              <w:rPr>
                <w:rFonts w:ascii="Arial" w:eastAsia="Times New Roman" w:hAnsi="Arial" w:cs="Arial"/>
                <w:i/>
                <w:color w:val="000000"/>
                <w:sz w:val="18"/>
                <w:szCs w:val="18"/>
              </w:rPr>
            </w:pPr>
            <w:r w:rsidRPr="00A32F3C">
              <w:rPr>
                <w:rFonts w:ascii="Arial" w:eastAsia="Times New Roman" w:hAnsi="Arial" w:cs="Arial"/>
                <w:i/>
                <w:color w:val="000000"/>
                <w:sz w:val="18"/>
                <w:szCs w:val="18"/>
              </w:rPr>
              <w:t>n=869</w:t>
            </w:r>
          </w:p>
        </w:tc>
        <w:tc>
          <w:tcPr>
            <w:tcW w:w="391" w:type="pct"/>
            <w:tcBorders>
              <w:top w:val="nil"/>
              <w:left w:val="nil"/>
              <w:bottom w:val="single" w:sz="4" w:space="0" w:color="auto"/>
              <w:right w:val="nil"/>
            </w:tcBorders>
            <w:shd w:val="clear" w:color="auto" w:fill="auto"/>
            <w:noWrap/>
            <w:vAlign w:val="center"/>
            <w:hideMark/>
          </w:tcPr>
          <w:p w14:paraId="2C610454" w14:textId="77777777" w:rsidR="008C031E" w:rsidRPr="00A32F3C" w:rsidRDefault="008C031E" w:rsidP="00A32F3C">
            <w:pPr>
              <w:spacing w:after="0" w:line="240" w:lineRule="auto"/>
              <w:jc w:val="center"/>
              <w:rPr>
                <w:rFonts w:ascii="Arial" w:eastAsia="Times New Roman" w:hAnsi="Arial" w:cs="Arial"/>
                <w:i/>
                <w:color w:val="000000"/>
                <w:sz w:val="18"/>
                <w:szCs w:val="18"/>
              </w:rPr>
            </w:pPr>
            <w:r w:rsidRPr="00A32F3C">
              <w:rPr>
                <w:rFonts w:ascii="Arial" w:eastAsia="Times New Roman" w:hAnsi="Arial" w:cs="Arial"/>
                <w:i/>
                <w:color w:val="000000"/>
                <w:sz w:val="18"/>
                <w:szCs w:val="18"/>
              </w:rPr>
              <w:t>n=873</w:t>
            </w:r>
          </w:p>
        </w:tc>
        <w:tc>
          <w:tcPr>
            <w:tcW w:w="415" w:type="pct"/>
            <w:tcBorders>
              <w:top w:val="nil"/>
              <w:left w:val="nil"/>
              <w:bottom w:val="single" w:sz="4" w:space="0" w:color="auto"/>
              <w:right w:val="nil"/>
            </w:tcBorders>
            <w:shd w:val="clear" w:color="auto" w:fill="auto"/>
            <w:noWrap/>
            <w:vAlign w:val="center"/>
            <w:hideMark/>
          </w:tcPr>
          <w:p w14:paraId="20EFC915" w14:textId="77777777" w:rsidR="008C031E" w:rsidRPr="00A32F3C" w:rsidRDefault="008C031E" w:rsidP="00A32F3C">
            <w:pPr>
              <w:spacing w:after="0" w:line="240" w:lineRule="auto"/>
              <w:jc w:val="center"/>
              <w:rPr>
                <w:rFonts w:ascii="Arial" w:eastAsia="Times New Roman" w:hAnsi="Arial" w:cs="Arial"/>
                <w:i/>
                <w:color w:val="000000"/>
                <w:sz w:val="18"/>
                <w:szCs w:val="18"/>
              </w:rPr>
            </w:pPr>
            <w:r w:rsidRPr="00A32F3C">
              <w:rPr>
                <w:rFonts w:ascii="Arial" w:eastAsia="Times New Roman" w:hAnsi="Arial" w:cs="Arial"/>
                <w:i/>
                <w:color w:val="000000"/>
                <w:sz w:val="18"/>
                <w:szCs w:val="18"/>
              </w:rPr>
              <w:t>n=862</w:t>
            </w:r>
          </w:p>
        </w:tc>
      </w:tr>
      <w:tr w:rsidR="00951A20" w:rsidRPr="00A32F3C" w14:paraId="0D3CAEF4" w14:textId="77777777" w:rsidTr="008C031E">
        <w:trPr>
          <w:trHeight w:val="300"/>
          <w:jc w:val="center"/>
        </w:trPr>
        <w:tc>
          <w:tcPr>
            <w:tcW w:w="946" w:type="pct"/>
            <w:gridSpan w:val="2"/>
            <w:tcBorders>
              <w:top w:val="nil"/>
              <w:left w:val="nil"/>
              <w:bottom w:val="nil"/>
              <w:right w:val="nil"/>
            </w:tcBorders>
            <w:shd w:val="clear" w:color="auto" w:fill="auto"/>
            <w:hideMark/>
          </w:tcPr>
          <w:p w14:paraId="288C7720" w14:textId="77777777" w:rsidR="008C031E" w:rsidRPr="00A32F3C" w:rsidRDefault="008C031E" w:rsidP="008C031E">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Non-consumers (0g / day)</w:t>
            </w:r>
          </w:p>
        </w:tc>
        <w:tc>
          <w:tcPr>
            <w:tcW w:w="391" w:type="pct"/>
            <w:tcBorders>
              <w:top w:val="nil"/>
              <w:left w:val="nil"/>
              <w:bottom w:val="nil"/>
              <w:right w:val="nil"/>
            </w:tcBorders>
            <w:shd w:val="clear" w:color="auto" w:fill="auto"/>
            <w:noWrap/>
            <w:vAlign w:val="center"/>
            <w:hideMark/>
          </w:tcPr>
          <w:p w14:paraId="2FC2BF92" w14:textId="77777777" w:rsidR="00951A20" w:rsidRPr="00A32F3C" w:rsidRDefault="008C031E" w:rsidP="00A32F3C">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n=35</w:t>
            </w:r>
          </w:p>
        </w:tc>
        <w:tc>
          <w:tcPr>
            <w:tcW w:w="396" w:type="pct"/>
            <w:tcBorders>
              <w:top w:val="nil"/>
              <w:left w:val="nil"/>
              <w:bottom w:val="nil"/>
              <w:right w:val="nil"/>
            </w:tcBorders>
            <w:shd w:val="clear" w:color="auto" w:fill="auto"/>
            <w:noWrap/>
            <w:vAlign w:val="center"/>
            <w:hideMark/>
          </w:tcPr>
          <w:p w14:paraId="5D3C1FAD" w14:textId="77777777" w:rsidR="00951A20" w:rsidRPr="00A32F3C" w:rsidRDefault="008C031E" w:rsidP="00A32F3C">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n=105</w:t>
            </w:r>
          </w:p>
        </w:tc>
        <w:tc>
          <w:tcPr>
            <w:tcW w:w="512" w:type="pct"/>
            <w:tcBorders>
              <w:top w:val="nil"/>
              <w:left w:val="nil"/>
              <w:bottom w:val="nil"/>
              <w:right w:val="nil"/>
            </w:tcBorders>
            <w:shd w:val="clear" w:color="auto" w:fill="auto"/>
            <w:noWrap/>
            <w:vAlign w:val="center"/>
            <w:hideMark/>
          </w:tcPr>
          <w:p w14:paraId="66980F4E" w14:textId="77777777" w:rsidR="00951A20" w:rsidRPr="00A32F3C" w:rsidRDefault="008C031E" w:rsidP="00A32F3C">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n=488</w:t>
            </w:r>
          </w:p>
        </w:tc>
        <w:tc>
          <w:tcPr>
            <w:tcW w:w="534" w:type="pct"/>
            <w:tcBorders>
              <w:top w:val="nil"/>
              <w:left w:val="nil"/>
              <w:bottom w:val="nil"/>
              <w:right w:val="nil"/>
            </w:tcBorders>
            <w:shd w:val="clear" w:color="auto" w:fill="auto"/>
            <w:noWrap/>
            <w:vAlign w:val="center"/>
            <w:hideMark/>
          </w:tcPr>
          <w:p w14:paraId="72900CE8" w14:textId="77777777" w:rsidR="00951A20" w:rsidRPr="00A32F3C" w:rsidRDefault="008C031E" w:rsidP="00A32F3C">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n=558</w:t>
            </w:r>
          </w:p>
        </w:tc>
        <w:tc>
          <w:tcPr>
            <w:tcW w:w="458" w:type="pct"/>
            <w:tcBorders>
              <w:top w:val="nil"/>
              <w:left w:val="nil"/>
              <w:bottom w:val="nil"/>
              <w:right w:val="nil"/>
            </w:tcBorders>
            <w:shd w:val="clear" w:color="auto" w:fill="auto"/>
            <w:noWrap/>
            <w:vAlign w:val="center"/>
            <w:hideMark/>
          </w:tcPr>
          <w:p w14:paraId="1B4C1DDD" w14:textId="77777777" w:rsidR="00951A20" w:rsidRPr="00A32F3C" w:rsidRDefault="008C031E" w:rsidP="00A32F3C">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n=369</w:t>
            </w:r>
          </w:p>
        </w:tc>
        <w:tc>
          <w:tcPr>
            <w:tcW w:w="399" w:type="pct"/>
            <w:tcBorders>
              <w:top w:val="nil"/>
              <w:left w:val="nil"/>
              <w:bottom w:val="nil"/>
              <w:right w:val="nil"/>
            </w:tcBorders>
            <w:shd w:val="clear" w:color="auto" w:fill="auto"/>
            <w:noWrap/>
            <w:vAlign w:val="center"/>
            <w:hideMark/>
          </w:tcPr>
          <w:p w14:paraId="52226B3F" w14:textId="77777777" w:rsidR="00951A20" w:rsidRPr="00A32F3C" w:rsidRDefault="008C031E" w:rsidP="00A32F3C">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n=12</w:t>
            </w:r>
          </w:p>
        </w:tc>
        <w:tc>
          <w:tcPr>
            <w:tcW w:w="144" w:type="pct"/>
            <w:tcBorders>
              <w:top w:val="nil"/>
              <w:left w:val="nil"/>
              <w:bottom w:val="nil"/>
              <w:right w:val="nil"/>
            </w:tcBorders>
            <w:shd w:val="clear" w:color="auto" w:fill="auto"/>
            <w:noWrap/>
            <w:vAlign w:val="center"/>
            <w:hideMark/>
          </w:tcPr>
          <w:p w14:paraId="0D792010" w14:textId="77777777" w:rsidR="00951A20" w:rsidRPr="00A32F3C" w:rsidRDefault="00951A20" w:rsidP="00A32F3C">
            <w:pPr>
              <w:spacing w:after="0" w:line="240" w:lineRule="auto"/>
              <w:jc w:val="center"/>
              <w:rPr>
                <w:rFonts w:ascii="Calibri" w:eastAsia="Times New Roman" w:hAnsi="Calibri" w:cs="Times New Roman"/>
                <w:b/>
                <w:color w:val="000000"/>
              </w:rPr>
            </w:pPr>
          </w:p>
        </w:tc>
        <w:tc>
          <w:tcPr>
            <w:tcW w:w="415" w:type="pct"/>
            <w:tcBorders>
              <w:top w:val="nil"/>
              <w:left w:val="nil"/>
              <w:bottom w:val="nil"/>
              <w:right w:val="nil"/>
            </w:tcBorders>
            <w:shd w:val="clear" w:color="auto" w:fill="auto"/>
            <w:noWrap/>
            <w:vAlign w:val="center"/>
            <w:hideMark/>
          </w:tcPr>
          <w:p w14:paraId="7ACFC6EC" w14:textId="77777777" w:rsidR="00951A20" w:rsidRPr="00A32F3C" w:rsidRDefault="008C031E" w:rsidP="00A32F3C">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n=33</w:t>
            </w:r>
          </w:p>
        </w:tc>
        <w:tc>
          <w:tcPr>
            <w:tcW w:w="391" w:type="pct"/>
            <w:tcBorders>
              <w:top w:val="nil"/>
              <w:left w:val="nil"/>
              <w:bottom w:val="nil"/>
              <w:right w:val="nil"/>
            </w:tcBorders>
            <w:shd w:val="clear" w:color="auto" w:fill="auto"/>
            <w:noWrap/>
            <w:vAlign w:val="center"/>
            <w:hideMark/>
          </w:tcPr>
          <w:p w14:paraId="100F4605" w14:textId="77777777" w:rsidR="00951A20" w:rsidRPr="00A32F3C" w:rsidRDefault="008C031E" w:rsidP="00A32F3C">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n=26</w:t>
            </w:r>
          </w:p>
        </w:tc>
        <w:tc>
          <w:tcPr>
            <w:tcW w:w="415" w:type="pct"/>
            <w:tcBorders>
              <w:top w:val="nil"/>
              <w:left w:val="nil"/>
              <w:bottom w:val="nil"/>
              <w:right w:val="nil"/>
            </w:tcBorders>
            <w:shd w:val="clear" w:color="auto" w:fill="auto"/>
            <w:noWrap/>
            <w:vAlign w:val="center"/>
            <w:hideMark/>
          </w:tcPr>
          <w:p w14:paraId="34FDF214" w14:textId="77777777" w:rsidR="00951A20" w:rsidRPr="00A32F3C" w:rsidRDefault="008C031E" w:rsidP="00A32F3C">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n=3</w:t>
            </w:r>
          </w:p>
        </w:tc>
      </w:tr>
      <w:tr w:rsidR="00A32F3C" w:rsidRPr="00A32F3C" w14:paraId="634341B4" w14:textId="77777777" w:rsidTr="008C031E">
        <w:trPr>
          <w:trHeight w:val="300"/>
          <w:jc w:val="center"/>
        </w:trPr>
        <w:tc>
          <w:tcPr>
            <w:tcW w:w="946" w:type="pct"/>
            <w:gridSpan w:val="2"/>
            <w:tcBorders>
              <w:top w:val="nil"/>
              <w:left w:val="nil"/>
              <w:bottom w:val="nil"/>
              <w:right w:val="nil"/>
            </w:tcBorders>
            <w:shd w:val="clear" w:color="auto" w:fill="auto"/>
            <w:hideMark/>
          </w:tcPr>
          <w:p w14:paraId="6C107744" w14:textId="77777777" w:rsidR="00A32F3C" w:rsidRPr="00A32F3C" w:rsidRDefault="00A32F3C" w:rsidP="00A32F3C">
            <w:pPr>
              <w:spacing w:after="0" w:line="240" w:lineRule="auto"/>
              <w:jc w:val="center"/>
              <w:rPr>
                <w:rFonts w:ascii="Arial" w:eastAsia="Times New Roman" w:hAnsi="Arial" w:cs="Arial"/>
                <w:b/>
                <w:color w:val="000000"/>
                <w:sz w:val="18"/>
                <w:szCs w:val="18"/>
              </w:rPr>
            </w:pPr>
            <w:r w:rsidRPr="00A32F3C">
              <w:rPr>
                <w:rFonts w:ascii="Arial" w:eastAsia="Times New Roman" w:hAnsi="Arial" w:cs="Arial"/>
                <w:b/>
                <w:color w:val="000000"/>
                <w:sz w:val="18"/>
                <w:szCs w:val="18"/>
              </w:rPr>
              <w:t>Median</w:t>
            </w:r>
            <w:r w:rsidR="008C031E">
              <w:rPr>
                <w:rFonts w:ascii="Arial" w:eastAsia="Times New Roman" w:hAnsi="Arial" w:cs="Arial"/>
                <w:b/>
                <w:color w:val="000000"/>
                <w:sz w:val="18"/>
                <w:szCs w:val="18"/>
              </w:rPr>
              <w:t xml:space="preserve"> (g/day)</w:t>
            </w:r>
          </w:p>
        </w:tc>
        <w:tc>
          <w:tcPr>
            <w:tcW w:w="391" w:type="pct"/>
            <w:tcBorders>
              <w:top w:val="nil"/>
              <w:left w:val="nil"/>
              <w:bottom w:val="nil"/>
              <w:right w:val="nil"/>
            </w:tcBorders>
            <w:shd w:val="clear" w:color="auto" w:fill="auto"/>
            <w:noWrap/>
            <w:vAlign w:val="center"/>
            <w:hideMark/>
          </w:tcPr>
          <w:p w14:paraId="4EBC677C" w14:textId="77777777" w:rsidR="00A32F3C" w:rsidRPr="00A32F3C" w:rsidRDefault="00A32F3C" w:rsidP="00A32F3C">
            <w:pPr>
              <w:spacing w:after="0" w:line="240" w:lineRule="auto"/>
              <w:jc w:val="center"/>
              <w:rPr>
                <w:rFonts w:ascii="Arial" w:eastAsia="Times New Roman" w:hAnsi="Arial" w:cs="Arial"/>
                <w:b/>
                <w:color w:val="000000"/>
                <w:sz w:val="18"/>
                <w:szCs w:val="18"/>
              </w:rPr>
            </w:pPr>
            <w:r w:rsidRPr="00A32F3C">
              <w:rPr>
                <w:rFonts w:ascii="Arial" w:eastAsia="Times New Roman" w:hAnsi="Arial" w:cs="Arial"/>
                <w:b/>
                <w:color w:val="000000"/>
                <w:sz w:val="18"/>
                <w:szCs w:val="18"/>
              </w:rPr>
              <w:t>17.6</w:t>
            </w:r>
          </w:p>
        </w:tc>
        <w:tc>
          <w:tcPr>
            <w:tcW w:w="396" w:type="pct"/>
            <w:tcBorders>
              <w:top w:val="nil"/>
              <w:left w:val="nil"/>
              <w:bottom w:val="nil"/>
              <w:right w:val="nil"/>
            </w:tcBorders>
            <w:shd w:val="clear" w:color="auto" w:fill="auto"/>
            <w:noWrap/>
            <w:vAlign w:val="center"/>
            <w:hideMark/>
          </w:tcPr>
          <w:p w14:paraId="2CDADC96" w14:textId="77777777" w:rsidR="00A32F3C" w:rsidRPr="00A32F3C" w:rsidRDefault="00A32F3C" w:rsidP="00A32F3C">
            <w:pPr>
              <w:spacing w:after="0" w:line="240" w:lineRule="auto"/>
              <w:jc w:val="center"/>
              <w:rPr>
                <w:rFonts w:ascii="Arial" w:eastAsia="Times New Roman" w:hAnsi="Arial" w:cs="Arial"/>
                <w:b/>
                <w:color w:val="000000"/>
                <w:sz w:val="18"/>
                <w:szCs w:val="18"/>
              </w:rPr>
            </w:pPr>
            <w:r w:rsidRPr="00A32F3C">
              <w:rPr>
                <w:rFonts w:ascii="Arial" w:eastAsia="Times New Roman" w:hAnsi="Arial" w:cs="Arial"/>
                <w:b/>
                <w:color w:val="000000"/>
                <w:sz w:val="18"/>
                <w:szCs w:val="18"/>
              </w:rPr>
              <w:t>13.7</w:t>
            </w:r>
          </w:p>
        </w:tc>
        <w:tc>
          <w:tcPr>
            <w:tcW w:w="512" w:type="pct"/>
            <w:tcBorders>
              <w:top w:val="nil"/>
              <w:left w:val="nil"/>
              <w:bottom w:val="nil"/>
              <w:right w:val="nil"/>
            </w:tcBorders>
            <w:shd w:val="clear" w:color="auto" w:fill="auto"/>
            <w:noWrap/>
            <w:vAlign w:val="center"/>
            <w:hideMark/>
          </w:tcPr>
          <w:p w14:paraId="634D267B" w14:textId="77777777" w:rsidR="00A32F3C" w:rsidRPr="00A32F3C" w:rsidRDefault="00A32F3C" w:rsidP="00A32F3C">
            <w:pPr>
              <w:spacing w:after="0" w:line="240" w:lineRule="auto"/>
              <w:jc w:val="center"/>
              <w:rPr>
                <w:rFonts w:ascii="Arial" w:eastAsia="Times New Roman" w:hAnsi="Arial" w:cs="Arial"/>
                <w:b/>
                <w:color w:val="000000"/>
                <w:sz w:val="18"/>
                <w:szCs w:val="18"/>
              </w:rPr>
            </w:pPr>
            <w:r w:rsidRPr="00A32F3C">
              <w:rPr>
                <w:rFonts w:ascii="Arial" w:eastAsia="Times New Roman" w:hAnsi="Arial" w:cs="Arial"/>
                <w:b/>
                <w:color w:val="000000"/>
                <w:sz w:val="18"/>
                <w:szCs w:val="18"/>
              </w:rPr>
              <w:t>0.0</w:t>
            </w:r>
          </w:p>
        </w:tc>
        <w:tc>
          <w:tcPr>
            <w:tcW w:w="534" w:type="pct"/>
            <w:tcBorders>
              <w:top w:val="nil"/>
              <w:left w:val="nil"/>
              <w:bottom w:val="nil"/>
              <w:right w:val="nil"/>
            </w:tcBorders>
            <w:shd w:val="clear" w:color="auto" w:fill="auto"/>
            <w:noWrap/>
            <w:vAlign w:val="center"/>
            <w:hideMark/>
          </w:tcPr>
          <w:p w14:paraId="21CA1B2C" w14:textId="77777777" w:rsidR="00A32F3C" w:rsidRPr="00A32F3C" w:rsidRDefault="00A32F3C" w:rsidP="00A32F3C">
            <w:pPr>
              <w:spacing w:after="0" w:line="240" w:lineRule="auto"/>
              <w:jc w:val="center"/>
              <w:rPr>
                <w:rFonts w:ascii="Arial" w:eastAsia="Times New Roman" w:hAnsi="Arial" w:cs="Arial"/>
                <w:b/>
                <w:color w:val="000000"/>
                <w:sz w:val="18"/>
                <w:szCs w:val="18"/>
              </w:rPr>
            </w:pPr>
            <w:r w:rsidRPr="00A32F3C">
              <w:rPr>
                <w:rFonts w:ascii="Arial" w:eastAsia="Times New Roman" w:hAnsi="Arial" w:cs="Arial"/>
                <w:b/>
                <w:color w:val="000000"/>
                <w:sz w:val="18"/>
                <w:szCs w:val="18"/>
              </w:rPr>
              <w:t>0.0</w:t>
            </w:r>
          </w:p>
        </w:tc>
        <w:tc>
          <w:tcPr>
            <w:tcW w:w="458" w:type="pct"/>
            <w:tcBorders>
              <w:top w:val="nil"/>
              <w:left w:val="nil"/>
              <w:bottom w:val="nil"/>
              <w:right w:val="nil"/>
            </w:tcBorders>
            <w:shd w:val="clear" w:color="auto" w:fill="auto"/>
            <w:noWrap/>
            <w:vAlign w:val="center"/>
            <w:hideMark/>
          </w:tcPr>
          <w:p w14:paraId="61811C55" w14:textId="77777777" w:rsidR="00A32F3C" w:rsidRPr="00A32F3C" w:rsidRDefault="00A32F3C" w:rsidP="00A32F3C">
            <w:pPr>
              <w:spacing w:after="0" w:line="240" w:lineRule="auto"/>
              <w:jc w:val="center"/>
              <w:rPr>
                <w:rFonts w:ascii="Arial" w:eastAsia="Times New Roman" w:hAnsi="Arial" w:cs="Arial"/>
                <w:b/>
                <w:color w:val="000000"/>
                <w:sz w:val="18"/>
                <w:szCs w:val="18"/>
              </w:rPr>
            </w:pPr>
            <w:r w:rsidRPr="00A32F3C">
              <w:rPr>
                <w:rFonts w:ascii="Arial" w:eastAsia="Times New Roman" w:hAnsi="Arial" w:cs="Arial"/>
                <w:b/>
                <w:color w:val="000000"/>
                <w:sz w:val="18"/>
                <w:szCs w:val="18"/>
              </w:rPr>
              <w:t>3.2</w:t>
            </w:r>
          </w:p>
        </w:tc>
        <w:tc>
          <w:tcPr>
            <w:tcW w:w="399" w:type="pct"/>
            <w:tcBorders>
              <w:top w:val="nil"/>
              <w:left w:val="nil"/>
              <w:bottom w:val="nil"/>
              <w:right w:val="nil"/>
            </w:tcBorders>
            <w:shd w:val="clear" w:color="auto" w:fill="auto"/>
            <w:noWrap/>
            <w:vAlign w:val="center"/>
            <w:hideMark/>
          </w:tcPr>
          <w:p w14:paraId="3128CF4F" w14:textId="77777777" w:rsidR="00A32F3C" w:rsidRPr="00A32F3C" w:rsidRDefault="00A32F3C" w:rsidP="00A32F3C">
            <w:pPr>
              <w:spacing w:after="0" w:line="240" w:lineRule="auto"/>
              <w:jc w:val="center"/>
              <w:rPr>
                <w:rFonts w:ascii="Arial" w:eastAsia="Times New Roman" w:hAnsi="Arial" w:cs="Arial"/>
                <w:b/>
                <w:color w:val="000000"/>
                <w:sz w:val="18"/>
                <w:szCs w:val="18"/>
              </w:rPr>
            </w:pPr>
            <w:r w:rsidRPr="00A32F3C">
              <w:rPr>
                <w:rFonts w:ascii="Arial" w:eastAsia="Times New Roman" w:hAnsi="Arial" w:cs="Arial"/>
                <w:b/>
                <w:color w:val="000000"/>
                <w:sz w:val="18"/>
                <w:szCs w:val="18"/>
              </w:rPr>
              <w:t>43.2</w:t>
            </w:r>
          </w:p>
        </w:tc>
        <w:tc>
          <w:tcPr>
            <w:tcW w:w="144" w:type="pct"/>
            <w:tcBorders>
              <w:top w:val="nil"/>
              <w:left w:val="nil"/>
              <w:bottom w:val="nil"/>
              <w:right w:val="nil"/>
            </w:tcBorders>
            <w:shd w:val="clear" w:color="auto" w:fill="auto"/>
            <w:noWrap/>
            <w:vAlign w:val="center"/>
            <w:hideMark/>
          </w:tcPr>
          <w:p w14:paraId="05A5C8CB" w14:textId="77777777" w:rsidR="00A32F3C" w:rsidRPr="00A32F3C" w:rsidRDefault="00A32F3C" w:rsidP="00A32F3C">
            <w:pPr>
              <w:spacing w:after="0" w:line="240" w:lineRule="auto"/>
              <w:jc w:val="center"/>
              <w:rPr>
                <w:rFonts w:ascii="Calibri" w:eastAsia="Times New Roman" w:hAnsi="Calibri" w:cs="Times New Roman"/>
                <w:b/>
                <w:color w:val="000000"/>
              </w:rPr>
            </w:pPr>
          </w:p>
        </w:tc>
        <w:tc>
          <w:tcPr>
            <w:tcW w:w="415" w:type="pct"/>
            <w:tcBorders>
              <w:top w:val="nil"/>
              <w:left w:val="nil"/>
              <w:bottom w:val="nil"/>
              <w:right w:val="nil"/>
            </w:tcBorders>
            <w:shd w:val="clear" w:color="auto" w:fill="auto"/>
            <w:noWrap/>
            <w:vAlign w:val="center"/>
            <w:hideMark/>
          </w:tcPr>
          <w:p w14:paraId="4414C4F9" w14:textId="77777777" w:rsidR="00A32F3C" w:rsidRPr="00A32F3C" w:rsidRDefault="00A32F3C" w:rsidP="00A32F3C">
            <w:pPr>
              <w:spacing w:after="0" w:line="240" w:lineRule="auto"/>
              <w:jc w:val="center"/>
              <w:rPr>
                <w:rFonts w:ascii="Arial" w:eastAsia="Times New Roman" w:hAnsi="Arial" w:cs="Arial"/>
                <w:b/>
                <w:color w:val="000000"/>
                <w:sz w:val="18"/>
                <w:szCs w:val="18"/>
              </w:rPr>
            </w:pPr>
            <w:r w:rsidRPr="00A32F3C">
              <w:rPr>
                <w:rFonts w:ascii="Arial" w:eastAsia="Times New Roman" w:hAnsi="Arial" w:cs="Arial"/>
                <w:b/>
                <w:color w:val="000000"/>
                <w:sz w:val="18"/>
                <w:szCs w:val="18"/>
              </w:rPr>
              <w:t>146.0</w:t>
            </w:r>
          </w:p>
        </w:tc>
        <w:tc>
          <w:tcPr>
            <w:tcW w:w="391" w:type="pct"/>
            <w:tcBorders>
              <w:top w:val="nil"/>
              <w:left w:val="nil"/>
              <w:bottom w:val="nil"/>
              <w:right w:val="nil"/>
            </w:tcBorders>
            <w:shd w:val="clear" w:color="auto" w:fill="auto"/>
            <w:noWrap/>
            <w:vAlign w:val="center"/>
            <w:hideMark/>
          </w:tcPr>
          <w:p w14:paraId="6BD56B42" w14:textId="77777777" w:rsidR="00A32F3C" w:rsidRPr="00A32F3C" w:rsidRDefault="00A32F3C" w:rsidP="00A32F3C">
            <w:pPr>
              <w:spacing w:after="0" w:line="240" w:lineRule="auto"/>
              <w:jc w:val="center"/>
              <w:rPr>
                <w:rFonts w:ascii="Arial" w:eastAsia="Times New Roman" w:hAnsi="Arial" w:cs="Arial"/>
                <w:b/>
                <w:color w:val="000000"/>
                <w:sz w:val="18"/>
                <w:szCs w:val="18"/>
              </w:rPr>
            </w:pPr>
            <w:r w:rsidRPr="00A32F3C">
              <w:rPr>
                <w:rFonts w:ascii="Arial" w:eastAsia="Times New Roman" w:hAnsi="Arial" w:cs="Arial"/>
                <w:b/>
                <w:color w:val="000000"/>
                <w:sz w:val="18"/>
                <w:szCs w:val="18"/>
              </w:rPr>
              <w:t>50.0</w:t>
            </w:r>
          </w:p>
        </w:tc>
        <w:tc>
          <w:tcPr>
            <w:tcW w:w="415" w:type="pct"/>
            <w:tcBorders>
              <w:top w:val="nil"/>
              <w:left w:val="nil"/>
              <w:bottom w:val="nil"/>
              <w:right w:val="nil"/>
            </w:tcBorders>
            <w:shd w:val="clear" w:color="auto" w:fill="auto"/>
            <w:noWrap/>
            <w:vAlign w:val="center"/>
            <w:hideMark/>
          </w:tcPr>
          <w:p w14:paraId="7580A4E8" w14:textId="77777777" w:rsidR="00A32F3C" w:rsidRPr="00A32F3C" w:rsidRDefault="00A32F3C" w:rsidP="00A32F3C">
            <w:pPr>
              <w:spacing w:after="0" w:line="240" w:lineRule="auto"/>
              <w:jc w:val="center"/>
              <w:rPr>
                <w:rFonts w:ascii="Arial" w:eastAsia="Times New Roman" w:hAnsi="Arial" w:cs="Arial"/>
                <w:b/>
                <w:color w:val="000000"/>
                <w:sz w:val="18"/>
                <w:szCs w:val="18"/>
              </w:rPr>
            </w:pPr>
            <w:r w:rsidRPr="00A32F3C">
              <w:rPr>
                <w:rFonts w:ascii="Arial" w:eastAsia="Times New Roman" w:hAnsi="Arial" w:cs="Arial"/>
                <w:b/>
                <w:color w:val="000000"/>
                <w:sz w:val="18"/>
                <w:szCs w:val="18"/>
              </w:rPr>
              <w:t>250.6</w:t>
            </w:r>
          </w:p>
        </w:tc>
      </w:tr>
      <w:tr w:rsidR="00A32F3C" w:rsidRPr="00A32F3C" w14:paraId="0D4F8BD7" w14:textId="77777777" w:rsidTr="008C031E">
        <w:trPr>
          <w:trHeight w:val="180"/>
          <w:jc w:val="center"/>
        </w:trPr>
        <w:tc>
          <w:tcPr>
            <w:tcW w:w="632" w:type="pct"/>
            <w:tcBorders>
              <w:top w:val="nil"/>
              <w:left w:val="nil"/>
              <w:bottom w:val="nil"/>
              <w:right w:val="nil"/>
            </w:tcBorders>
            <w:shd w:val="clear" w:color="auto" w:fill="auto"/>
            <w:hideMark/>
          </w:tcPr>
          <w:p w14:paraId="263C861C" w14:textId="77777777" w:rsidR="00A32F3C" w:rsidRPr="00A32F3C" w:rsidRDefault="00A32F3C" w:rsidP="00A32F3C">
            <w:pPr>
              <w:spacing w:after="0" w:line="240" w:lineRule="auto"/>
              <w:rPr>
                <w:rFonts w:ascii="Arial" w:eastAsia="Times New Roman" w:hAnsi="Arial" w:cs="Arial"/>
                <w:color w:val="000000"/>
                <w:sz w:val="18"/>
                <w:szCs w:val="18"/>
              </w:rPr>
            </w:pPr>
          </w:p>
        </w:tc>
        <w:tc>
          <w:tcPr>
            <w:tcW w:w="313" w:type="pct"/>
            <w:tcBorders>
              <w:top w:val="nil"/>
              <w:left w:val="nil"/>
              <w:bottom w:val="nil"/>
              <w:right w:val="nil"/>
            </w:tcBorders>
            <w:shd w:val="clear" w:color="auto" w:fill="auto"/>
            <w:hideMark/>
          </w:tcPr>
          <w:p w14:paraId="7AF1B357" w14:textId="77777777" w:rsidR="00A32F3C" w:rsidRPr="00A32F3C" w:rsidRDefault="00A32F3C" w:rsidP="00A32F3C">
            <w:pPr>
              <w:spacing w:after="0" w:line="240" w:lineRule="auto"/>
              <w:rPr>
                <w:rFonts w:ascii="Arial" w:eastAsia="Times New Roman" w:hAnsi="Arial" w:cs="Arial"/>
                <w:color w:val="000000"/>
                <w:sz w:val="18"/>
                <w:szCs w:val="18"/>
              </w:rPr>
            </w:pPr>
          </w:p>
        </w:tc>
        <w:tc>
          <w:tcPr>
            <w:tcW w:w="391" w:type="pct"/>
            <w:tcBorders>
              <w:top w:val="nil"/>
              <w:left w:val="nil"/>
              <w:bottom w:val="nil"/>
              <w:right w:val="nil"/>
            </w:tcBorders>
            <w:shd w:val="clear" w:color="auto" w:fill="auto"/>
            <w:noWrap/>
            <w:vAlign w:val="center"/>
            <w:hideMark/>
          </w:tcPr>
          <w:p w14:paraId="257A0246" w14:textId="77777777" w:rsidR="00A32F3C" w:rsidRPr="00A32F3C" w:rsidRDefault="00A32F3C" w:rsidP="00A32F3C">
            <w:pPr>
              <w:spacing w:after="0" w:line="240" w:lineRule="auto"/>
              <w:jc w:val="center"/>
              <w:rPr>
                <w:rFonts w:ascii="Arial" w:eastAsia="Times New Roman" w:hAnsi="Arial" w:cs="Arial"/>
                <w:color w:val="000000"/>
                <w:sz w:val="18"/>
                <w:szCs w:val="18"/>
              </w:rPr>
            </w:pPr>
          </w:p>
        </w:tc>
        <w:tc>
          <w:tcPr>
            <w:tcW w:w="396" w:type="pct"/>
            <w:tcBorders>
              <w:top w:val="nil"/>
              <w:left w:val="nil"/>
              <w:bottom w:val="nil"/>
              <w:right w:val="nil"/>
            </w:tcBorders>
            <w:shd w:val="clear" w:color="auto" w:fill="auto"/>
            <w:noWrap/>
            <w:vAlign w:val="center"/>
            <w:hideMark/>
          </w:tcPr>
          <w:p w14:paraId="54B60009" w14:textId="77777777" w:rsidR="00A32F3C" w:rsidRPr="00A32F3C" w:rsidRDefault="00A32F3C" w:rsidP="00A32F3C">
            <w:pPr>
              <w:spacing w:after="0" w:line="240" w:lineRule="auto"/>
              <w:jc w:val="center"/>
              <w:rPr>
                <w:rFonts w:ascii="Arial" w:eastAsia="Times New Roman" w:hAnsi="Arial" w:cs="Arial"/>
                <w:color w:val="000000"/>
                <w:sz w:val="18"/>
                <w:szCs w:val="18"/>
              </w:rPr>
            </w:pPr>
          </w:p>
        </w:tc>
        <w:tc>
          <w:tcPr>
            <w:tcW w:w="512" w:type="pct"/>
            <w:tcBorders>
              <w:top w:val="nil"/>
              <w:left w:val="nil"/>
              <w:bottom w:val="nil"/>
              <w:right w:val="nil"/>
            </w:tcBorders>
            <w:shd w:val="clear" w:color="auto" w:fill="auto"/>
            <w:noWrap/>
            <w:vAlign w:val="center"/>
            <w:hideMark/>
          </w:tcPr>
          <w:p w14:paraId="652C337B" w14:textId="77777777" w:rsidR="00A32F3C" w:rsidRPr="00A32F3C" w:rsidRDefault="00A32F3C" w:rsidP="00A32F3C">
            <w:pPr>
              <w:spacing w:after="0" w:line="240" w:lineRule="auto"/>
              <w:jc w:val="center"/>
              <w:rPr>
                <w:rFonts w:ascii="Arial" w:eastAsia="Times New Roman" w:hAnsi="Arial" w:cs="Arial"/>
                <w:color w:val="000000"/>
                <w:sz w:val="18"/>
                <w:szCs w:val="18"/>
              </w:rPr>
            </w:pPr>
          </w:p>
        </w:tc>
        <w:tc>
          <w:tcPr>
            <w:tcW w:w="534" w:type="pct"/>
            <w:tcBorders>
              <w:top w:val="nil"/>
              <w:left w:val="nil"/>
              <w:bottom w:val="nil"/>
              <w:right w:val="nil"/>
            </w:tcBorders>
            <w:shd w:val="clear" w:color="auto" w:fill="auto"/>
            <w:noWrap/>
            <w:vAlign w:val="center"/>
            <w:hideMark/>
          </w:tcPr>
          <w:p w14:paraId="6BBFEA32" w14:textId="77777777" w:rsidR="00A32F3C" w:rsidRPr="00A32F3C" w:rsidRDefault="00A32F3C" w:rsidP="00A32F3C">
            <w:pPr>
              <w:spacing w:after="0" w:line="240" w:lineRule="auto"/>
              <w:jc w:val="center"/>
              <w:rPr>
                <w:rFonts w:ascii="Arial" w:eastAsia="Times New Roman" w:hAnsi="Arial" w:cs="Arial"/>
                <w:color w:val="000000"/>
                <w:sz w:val="18"/>
                <w:szCs w:val="18"/>
              </w:rPr>
            </w:pPr>
          </w:p>
        </w:tc>
        <w:tc>
          <w:tcPr>
            <w:tcW w:w="458" w:type="pct"/>
            <w:tcBorders>
              <w:top w:val="nil"/>
              <w:left w:val="nil"/>
              <w:bottom w:val="nil"/>
              <w:right w:val="nil"/>
            </w:tcBorders>
            <w:shd w:val="clear" w:color="auto" w:fill="auto"/>
            <w:noWrap/>
            <w:vAlign w:val="center"/>
            <w:hideMark/>
          </w:tcPr>
          <w:p w14:paraId="3C886B50" w14:textId="77777777" w:rsidR="00A32F3C" w:rsidRPr="00A32F3C" w:rsidRDefault="00A32F3C" w:rsidP="00A32F3C">
            <w:pPr>
              <w:spacing w:after="0" w:line="240" w:lineRule="auto"/>
              <w:jc w:val="center"/>
              <w:rPr>
                <w:rFonts w:ascii="Arial" w:eastAsia="Times New Roman" w:hAnsi="Arial" w:cs="Arial"/>
                <w:color w:val="000000"/>
                <w:sz w:val="18"/>
                <w:szCs w:val="18"/>
              </w:rPr>
            </w:pPr>
          </w:p>
        </w:tc>
        <w:tc>
          <w:tcPr>
            <w:tcW w:w="399" w:type="pct"/>
            <w:tcBorders>
              <w:top w:val="nil"/>
              <w:left w:val="nil"/>
              <w:bottom w:val="nil"/>
              <w:right w:val="nil"/>
            </w:tcBorders>
            <w:shd w:val="clear" w:color="auto" w:fill="auto"/>
            <w:noWrap/>
            <w:vAlign w:val="center"/>
            <w:hideMark/>
          </w:tcPr>
          <w:p w14:paraId="5889AC4F" w14:textId="77777777" w:rsidR="00A32F3C" w:rsidRPr="00A32F3C" w:rsidRDefault="00A32F3C" w:rsidP="00A32F3C">
            <w:pPr>
              <w:spacing w:after="0" w:line="240" w:lineRule="auto"/>
              <w:jc w:val="center"/>
              <w:rPr>
                <w:rFonts w:ascii="Arial" w:eastAsia="Times New Roman" w:hAnsi="Arial" w:cs="Arial"/>
                <w:color w:val="000000"/>
                <w:sz w:val="18"/>
                <w:szCs w:val="18"/>
              </w:rPr>
            </w:pPr>
          </w:p>
        </w:tc>
        <w:tc>
          <w:tcPr>
            <w:tcW w:w="144" w:type="pct"/>
            <w:tcBorders>
              <w:top w:val="nil"/>
              <w:left w:val="nil"/>
              <w:bottom w:val="nil"/>
              <w:right w:val="nil"/>
            </w:tcBorders>
            <w:shd w:val="clear" w:color="auto" w:fill="auto"/>
            <w:noWrap/>
            <w:vAlign w:val="center"/>
            <w:hideMark/>
          </w:tcPr>
          <w:p w14:paraId="34A44125" w14:textId="77777777" w:rsidR="00A32F3C" w:rsidRPr="00A32F3C" w:rsidRDefault="00A32F3C" w:rsidP="00A32F3C">
            <w:pPr>
              <w:spacing w:after="0" w:line="240" w:lineRule="auto"/>
              <w:jc w:val="center"/>
              <w:rPr>
                <w:rFonts w:ascii="Calibri" w:eastAsia="Times New Roman" w:hAnsi="Calibri" w:cs="Times New Roman"/>
                <w:color w:val="000000"/>
              </w:rPr>
            </w:pPr>
          </w:p>
        </w:tc>
        <w:tc>
          <w:tcPr>
            <w:tcW w:w="415" w:type="pct"/>
            <w:tcBorders>
              <w:top w:val="nil"/>
              <w:left w:val="nil"/>
              <w:bottom w:val="nil"/>
              <w:right w:val="nil"/>
            </w:tcBorders>
            <w:shd w:val="clear" w:color="auto" w:fill="auto"/>
            <w:noWrap/>
            <w:vAlign w:val="center"/>
            <w:hideMark/>
          </w:tcPr>
          <w:p w14:paraId="1C63F83E" w14:textId="77777777" w:rsidR="00A32F3C" w:rsidRPr="00A32F3C" w:rsidRDefault="00A32F3C" w:rsidP="00A32F3C">
            <w:pPr>
              <w:spacing w:after="0" w:line="240" w:lineRule="auto"/>
              <w:jc w:val="center"/>
              <w:rPr>
                <w:rFonts w:ascii="Arial" w:eastAsia="Times New Roman" w:hAnsi="Arial" w:cs="Arial"/>
                <w:color w:val="000000"/>
                <w:sz w:val="18"/>
                <w:szCs w:val="18"/>
              </w:rPr>
            </w:pPr>
          </w:p>
        </w:tc>
        <w:tc>
          <w:tcPr>
            <w:tcW w:w="391" w:type="pct"/>
            <w:tcBorders>
              <w:top w:val="nil"/>
              <w:left w:val="nil"/>
              <w:bottom w:val="nil"/>
              <w:right w:val="nil"/>
            </w:tcBorders>
            <w:shd w:val="clear" w:color="auto" w:fill="auto"/>
            <w:noWrap/>
            <w:vAlign w:val="center"/>
            <w:hideMark/>
          </w:tcPr>
          <w:p w14:paraId="42372728" w14:textId="77777777" w:rsidR="00A32F3C" w:rsidRPr="00A32F3C" w:rsidRDefault="00A32F3C" w:rsidP="00A32F3C">
            <w:pPr>
              <w:spacing w:after="0" w:line="240" w:lineRule="auto"/>
              <w:jc w:val="center"/>
              <w:rPr>
                <w:rFonts w:ascii="Arial" w:eastAsia="Times New Roman" w:hAnsi="Arial" w:cs="Arial"/>
                <w:color w:val="000000"/>
                <w:sz w:val="18"/>
                <w:szCs w:val="18"/>
              </w:rPr>
            </w:pPr>
          </w:p>
        </w:tc>
        <w:tc>
          <w:tcPr>
            <w:tcW w:w="415" w:type="pct"/>
            <w:tcBorders>
              <w:top w:val="nil"/>
              <w:left w:val="nil"/>
              <w:bottom w:val="nil"/>
              <w:right w:val="nil"/>
            </w:tcBorders>
            <w:shd w:val="clear" w:color="auto" w:fill="auto"/>
            <w:noWrap/>
            <w:vAlign w:val="center"/>
            <w:hideMark/>
          </w:tcPr>
          <w:p w14:paraId="58E6120E" w14:textId="77777777" w:rsidR="00A32F3C" w:rsidRPr="00A32F3C" w:rsidRDefault="00A32F3C" w:rsidP="00A32F3C">
            <w:pPr>
              <w:spacing w:after="0" w:line="240" w:lineRule="auto"/>
              <w:jc w:val="center"/>
              <w:rPr>
                <w:rFonts w:ascii="Arial" w:eastAsia="Times New Roman" w:hAnsi="Arial" w:cs="Arial"/>
                <w:color w:val="000000"/>
                <w:sz w:val="18"/>
                <w:szCs w:val="18"/>
              </w:rPr>
            </w:pPr>
          </w:p>
        </w:tc>
      </w:tr>
      <w:tr w:rsidR="00A32F3C" w:rsidRPr="00A32F3C" w14:paraId="0D603D70" w14:textId="77777777" w:rsidTr="008C031E">
        <w:trPr>
          <w:trHeight w:val="300"/>
          <w:jc w:val="center"/>
        </w:trPr>
        <w:tc>
          <w:tcPr>
            <w:tcW w:w="632" w:type="pct"/>
            <w:vMerge w:val="restart"/>
            <w:tcBorders>
              <w:top w:val="nil"/>
              <w:left w:val="nil"/>
              <w:bottom w:val="single" w:sz="4" w:space="0" w:color="000000"/>
              <w:right w:val="nil"/>
            </w:tcBorders>
            <w:shd w:val="clear" w:color="auto" w:fill="auto"/>
            <w:hideMark/>
          </w:tcPr>
          <w:p w14:paraId="3FB46809" w14:textId="77777777" w:rsid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lastRenderedPageBreak/>
              <w:t>Percentiles</w:t>
            </w:r>
          </w:p>
          <w:p w14:paraId="0707EC34" w14:textId="77777777" w:rsidR="008C031E" w:rsidRPr="00A32F3C" w:rsidRDefault="008C031E" w:rsidP="00A32F3C">
            <w:pPr>
              <w:spacing w:after="0" w:line="240" w:lineRule="auto"/>
              <w:jc w:val="center"/>
              <w:rPr>
                <w:rFonts w:ascii="Arial" w:eastAsia="Times New Roman" w:hAnsi="Arial" w:cs="Arial"/>
                <w:i/>
                <w:iCs/>
                <w:color w:val="000000"/>
                <w:sz w:val="18"/>
                <w:szCs w:val="18"/>
              </w:rPr>
            </w:pPr>
            <w:r>
              <w:rPr>
                <w:rFonts w:ascii="Arial" w:eastAsia="Times New Roman" w:hAnsi="Arial" w:cs="Arial"/>
                <w:i/>
                <w:iCs/>
                <w:color w:val="000000"/>
                <w:sz w:val="18"/>
                <w:szCs w:val="18"/>
              </w:rPr>
              <w:t>(g/day)</w:t>
            </w:r>
          </w:p>
        </w:tc>
        <w:tc>
          <w:tcPr>
            <w:tcW w:w="313" w:type="pct"/>
            <w:tcBorders>
              <w:top w:val="nil"/>
              <w:left w:val="nil"/>
              <w:bottom w:val="nil"/>
              <w:right w:val="nil"/>
            </w:tcBorders>
            <w:shd w:val="clear" w:color="auto" w:fill="auto"/>
            <w:noWrap/>
            <w:hideMark/>
          </w:tcPr>
          <w:p w14:paraId="55FD2C94"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Min</w:t>
            </w:r>
          </w:p>
        </w:tc>
        <w:tc>
          <w:tcPr>
            <w:tcW w:w="391" w:type="pct"/>
            <w:tcBorders>
              <w:top w:val="nil"/>
              <w:left w:val="nil"/>
              <w:bottom w:val="nil"/>
              <w:right w:val="nil"/>
            </w:tcBorders>
            <w:shd w:val="clear" w:color="auto" w:fill="auto"/>
            <w:noWrap/>
            <w:vAlign w:val="center"/>
            <w:hideMark/>
          </w:tcPr>
          <w:p w14:paraId="6CA4119D"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0.0</w:t>
            </w:r>
          </w:p>
        </w:tc>
        <w:tc>
          <w:tcPr>
            <w:tcW w:w="396" w:type="pct"/>
            <w:tcBorders>
              <w:top w:val="nil"/>
              <w:left w:val="nil"/>
              <w:bottom w:val="nil"/>
              <w:right w:val="nil"/>
            </w:tcBorders>
            <w:shd w:val="clear" w:color="auto" w:fill="auto"/>
            <w:noWrap/>
            <w:vAlign w:val="center"/>
            <w:hideMark/>
          </w:tcPr>
          <w:p w14:paraId="6D44AACB"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0.0</w:t>
            </w:r>
          </w:p>
        </w:tc>
        <w:tc>
          <w:tcPr>
            <w:tcW w:w="512" w:type="pct"/>
            <w:tcBorders>
              <w:top w:val="nil"/>
              <w:left w:val="nil"/>
              <w:bottom w:val="nil"/>
              <w:right w:val="nil"/>
            </w:tcBorders>
            <w:shd w:val="clear" w:color="auto" w:fill="auto"/>
            <w:noWrap/>
            <w:vAlign w:val="center"/>
            <w:hideMark/>
          </w:tcPr>
          <w:p w14:paraId="7E592A33"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0.0</w:t>
            </w:r>
          </w:p>
        </w:tc>
        <w:tc>
          <w:tcPr>
            <w:tcW w:w="534" w:type="pct"/>
            <w:tcBorders>
              <w:top w:val="nil"/>
              <w:left w:val="nil"/>
              <w:bottom w:val="nil"/>
              <w:right w:val="nil"/>
            </w:tcBorders>
            <w:shd w:val="clear" w:color="auto" w:fill="auto"/>
            <w:noWrap/>
            <w:vAlign w:val="center"/>
            <w:hideMark/>
          </w:tcPr>
          <w:p w14:paraId="3DB4DB7E"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0.0</w:t>
            </w:r>
          </w:p>
        </w:tc>
        <w:tc>
          <w:tcPr>
            <w:tcW w:w="458" w:type="pct"/>
            <w:tcBorders>
              <w:top w:val="nil"/>
              <w:left w:val="nil"/>
              <w:bottom w:val="nil"/>
              <w:right w:val="nil"/>
            </w:tcBorders>
            <w:shd w:val="clear" w:color="auto" w:fill="auto"/>
            <w:noWrap/>
            <w:vAlign w:val="center"/>
            <w:hideMark/>
          </w:tcPr>
          <w:p w14:paraId="5E553914"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0.0</w:t>
            </w:r>
          </w:p>
        </w:tc>
        <w:tc>
          <w:tcPr>
            <w:tcW w:w="399" w:type="pct"/>
            <w:tcBorders>
              <w:top w:val="nil"/>
              <w:left w:val="nil"/>
              <w:bottom w:val="nil"/>
              <w:right w:val="nil"/>
            </w:tcBorders>
            <w:shd w:val="clear" w:color="auto" w:fill="auto"/>
            <w:noWrap/>
            <w:vAlign w:val="center"/>
            <w:hideMark/>
          </w:tcPr>
          <w:p w14:paraId="067B98F9"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0.0</w:t>
            </w:r>
          </w:p>
        </w:tc>
        <w:tc>
          <w:tcPr>
            <w:tcW w:w="144" w:type="pct"/>
            <w:tcBorders>
              <w:top w:val="nil"/>
              <w:left w:val="nil"/>
              <w:bottom w:val="nil"/>
              <w:right w:val="nil"/>
            </w:tcBorders>
            <w:shd w:val="clear" w:color="auto" w:fill="auto"/>
            <w:noWrap/>
            <w:vAlign w:val="center"/>
            <w:hideMark/>
          </w:tcPr>
          <w:p w14:paraId="4EA840BA" w14:textId="77777777" w:rsidR="00A32F3C" w:rsidRPr="00A32F3C" w:rsidRDefault="00A32F3C" w:rsidP="00A32F3C">
            <w:pPr>
              <w:spacing w:after="0" w:line="240" w:lineRule="auto"/>
              <w:jc w:val="center"/>
              <w:rPr>
                <w:rFonts w:ascii="Calibri" w:eastAsia="Times New Roman" w:hAnsi="Calibri" w:cs="Times New Roman"/>
                <w:i/>
                <w:iCs/>
                <w:color w:val="000000"/>
              </w:rPr>
            </w:pPr>
          </w:p>
        </w:tc>
        <w:tc>
          <w:tcPr>
            <w:tcW w:w="415" w:type="pct"/>
            <w:tcBorders>
              <w:top w:val="nil"/>
              <w:left w:val="nil"/>
              <w:bottom w:val="nil"/>
              <w:right w:val="nil"/>
            </w:tcBorders>
            <w:shd w:val="clear" w:color="auto" w:fill="auto"/>
            <w:noWrap/>
            <w:vAlign w:val="center"/>
            <w:hideMark/>
          </w:tcPr>
          <w:p w14:paraId="27C80939"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0.0</w:t>
            </w:r>
          </w:p>
        </w:tc>
        <w:tc>
          <w:tcPr>
            <w:tcW w:w="391" w:type="pct"/>
            <w:tcBorders>
              <w:top w:val="nil"/>
              <w:left w:val="nil"/>
              <w:bottom w:val="nil"/>
              <w:right w:val="nil"/>
            </w:tcBorders>
            <w:shd w:val="clear" w:color="auto" w:fill="auto"/>
            <w:noWrap/>
            <w:vAlign w:val="center"/>
            <w:hideMark/>
          </w:tcPr>
          <w:p w14:paraId="40168787"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0.0</w:t>
            </w:r>
          </w:p>
        </w:tc>
        <w:tc>
          <w:tcPr>
            <w:tcW w:w="415" w:type="pct"/>
            <w:tcBorders>
              <w:top w:val="nil"/>
              <w:left w:val="nil"/>
              <w:bottom w:val="nil"/>
              <w:right w:val="nil"/>
            </w:tcBorders>
            <w:shd w:val="clear" w:color="auto" w:fill="auto"/>
            <w:noWrap/>
            <w:vAlign w:val="center"/>
            <w:hideMark/>
          </w:tcPr>
          <w:p w14:paraId="3B5A2C3F"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0.0</w:t>
            </w:r>
          </w:p>
        </w:tc>
      </w:tr>
      <w:tr w:rsidR="00A32F3C" w:rsidRPr="00A32F3C" w14:paraId="4DB2E45F" w14:textId="77777777" w:rsidTr="008C031E">
        <w:trPr>
          <w:trHeight w:val="300"/>
          <w:jc w:val="center"/>
        </w:trPr>
        <w:tc>
          <w:tcPr>
            <w:tcW w:w="632" w:type="pct"/>
            <w:vMerge/>
            <w:tcBorders>
              <w:top w:val="nil"/>
              <w:left w:val="nil"/>
              <w:bottom w:val="single" w:sz="4" w:space="0" w:color="000000"/>
              <w:right w:val="nil"/>
            </w:tcBorders>
            <w:vAlign w:val="center"/>
            <w:hideMark/>
          </w:tcPr>
          <w:p w14:paraId="4021AF47" w14:textId="77777777" w:rsidR="00A32F3C" w:rsidRPr="00A32F3C" w:rsidRDefault="00A32F3C" w:rsidP="00A32F3C">
            <w:pPr>
              <w:spacing w:after="0" w:line="240" w:lineRule="auto"/>
              <w:rPr>
                <w:rFonts w:ascii="Arial" w:eastAsia="Times New Roman" w:hAnsi="Arial" w:cs="Arial"/>
                <w:i/>
                <w:iCs/>
                <w:color w:val="000000"/>
                <w:sz w:val="18"/>
                <w:szCs w:val="18"/>
              </w:rPr>
            </w:pPr>
          </w:p>
        </w:tc>
        <w:tc>
          <w:tcPr>
            <w:tcW w:w="313" w:type="pct"/>
            <w:tcBorders>
              <w:top w:val="nil"/>
              <w:left w:val="nil"/>
              <w:bottom w:val="nil"/>
              <w:right w:val="nil"/>
            </w:tcBorders>
            <w:shd w:val="clear" w:color="auto" w:fill="auto"/>
            <w:noWrap/>
            <w:hideMark/>
          </w:tcPr>
          <w:p w14:paraId="674E1C78"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20th</w:t>
            </w:r>
          </w:p>
        </w:tc>
        <w:tc>
          <w:tcPr>
            <w:tcW w:w="391" w:type="pct"/>
            <w:tcBorders>
              <w:top w:val="nil"/>
              <w:left w:val="nil"/>
              <w:bottom w:val="nil"/>
              <w:right w:val="nil"/>
            </w:tcBorders>
            <w:shd w:val="clear" w:color="auto" w:fill="auto"/>
            <w:noWrap/>
            <w:vAlign w:val="center"/>
            <w:hideMark/>
          </w:tcPr>
          <w:p w14:paraId="3AA71417"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9.6</w:t>
            </w:r>
          </w:p>
        </w:tc>
        <w:tc>
          <w:tcPr>
            <w:tcW w:w="396" w:type="pct"/>
            <w:tcBorders>
              <w:top w:val="nil"/>
              <w:left w:val="nil"/>
              <w:bottom w:val="nil"/>
              <w:right w:val="nil"/>
            </w:tcBorders>
            <w:shd w:val="clear" w:color="auto" w:fill="auto"/>
            <w:noWrap/>
            <w:vAlign w:val="center"/>
            <w:hideMark/>
          </w:tcPr>
          <w:p w14:paraId="36BA90CB"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6.5</w:t>
            </w:r>
          </w:p>
        </w:tc>
        <w:tc>
          <w:tcPr>
            <w:tcW w:w="512" w:type="pct"/>
            <w:tcBorders>
              <w:top w:val="nil"/>
              <w:left w:val="nil"/>
              <w:bottom w:val="nil"/>
              <w:right w:val="nil"/>
            </w:tcBorders>
            <w:shd w:val="clear" w:color="auto" w:fill="auto"/>
            <w:noWrap/>
            <w:vAlign w:val="center"/>
            <w:hideMark/>
          </w:tcPr>
          <w:p w14:paraId="2E519ECD"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0.0</w:t>
            </w:r>
          </w:p>
        </w:tc>
        <w:tc>
          <w:tcPr>
            <w:tcW w:w="534" w:type="pct"/>
            <w:tcBorders>
              <w:top w:val="nil"/>
              <w:left w:val="nil"/>
              <w:bottom w:val="nil"/>
              <w:right w:val="nil"/>
            </w:tcBorders>
            <w:shd w:val="clear" w:color="auto" w:fill="auto"/>
            <w:noWrap/>
            <w:vAlign w:val="center"/>
            <w:hideMark/>
          </w:tcPr>
          <w:p w14:paraId="0C45FD43"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0.0</w:t>
            </w:r>
          </w:p>
        </w:tc>
        <w:tc>
          <w:tcPr>
            <w:tcW w:w="458" w:type="pct"/>
            <w:tcBorders>
              <w:top w:val="nil"/>
              <w:left w:val="nil"/>
              <w:bottom w:val="nil"/>
              <w:right w:val="nil"/>
            </w:tcBorders>
            <w:shd w:val="clear" w:color="auto" w:fill="auto"/>
            <w:noWrap/>
            <w:vAlign w:val="center"/>
            <w:hideMark/>
          </w:tcPr>
          <w:p w14:paraId="74119E32"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0.0</w:t>
            </w:r>
          </w:p>
        </w:tc>
        <w:tc>
          <w:tcPr>
            <w:tcW w:w="399" w:type="pct"/>
            <w:tcBorders>
              <w:top w:val="nil"/>
              <w:left w:val="nil"/>
              <w:bottom w:val="nil"/>
              <w:right w:val="nil"/>
            </w:tcBorders>
            <w:shd w:val="clear" w:color="auto" w:fill="auto"/>
            <w:noWrap/>
            <w:vAlign w:val="center"/>
            <w:hideMark/>
          </w:tcPr>
          <w:p w14:paraId="62EEE078"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26.0</w:t>
            </w:r>
          </w:p>
        </w:tc>
        <w:tc>
          <w:tcPr>
            <w:tcW w:w="144" w:type="pct"/>
            <w:tcBorders>
              <w:top w:val="nil"/>
              <w:left w:val="nil"/>
              <w:bottom w:val="nil"/>
              <w:right w:val="nil"/>
            </w:tcBorders>
            <w:shd w:val="clear" w:color="auto" w:fill="auto"/>
            <w:noWrap/>
            <w:vAlign w:val="center"/>
            <w:hideMark/>
          </w:tcPr>
          <w:p w14:paraId="012642A0" w14:textId="77777777" w:rsidR="00A32F3C" w:rsidRPr="00A32F3C" w:rsidRDefault="00A32F3C" w:rsidP="00A32F3C">
            <w:pPr>
              <w:spacing w:after="0" w:line="240" w:lineRule="auto"/>
              <w:jc w:val="center"/>
              <w:rPr>
                <w:rFonts w:ascii="Calibri" w:eastAsia="Times New Roman" w:hAnsi="Calibri" w:cs="Times New Roman"/>
                <w:i/>
                <w:iCs/>
                <w:color w:val="000000"/>
              </w:rPr>
            </w:pPr>
          </w:p>
        </w:tc>
        <w:tc>
          <w:tcPr>
            <w:tcW w:w="415" w:type="pct"/>
            <w:tcBorders>
              <w:top w:val="nil"/>
              <w:left w:val="nil"/>
              <w:bottom w:val="nil"/>
              <w:right w:val="nil"/>
            </w:tcBorders>
            <w:shd w:val="clear" w:color="auto" w:fill="auto"/>
            <w:noWrap/>
            <w:vAlign w:val="center"/>
            <w:hideMark/>
          </w:tcPr>
          <w:p w14:paraId="33D69E3C"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103.7</w:t>
            </w:r>
          </w:p>
        </w:tc>
        <w:tc>
          <w:tcPr>
            <w:tcW w:w="391" w:type="pct"/>
            <w:tcBorders>
              <w:top w:val="nil"/>
              <w:left w:val="nil"/>
              <w:bottom w:val="nil"/>
              <w:right w:val="nil"/>
            </w:tcBorders>
            <w:shd w:val="clear" w:color="auto" w:fill="auto"/>
            <w:noWrap/>
            <w:vAlign w:val="center"/>
            <w:hideMark/>
          </w:tcPr>
          <w:p w14:paraId="4B8140C9"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12.2</w:t>
            </w:r>
          </w:p>
        </w:tc>
        <w:tc>
          <w:tcPr>
            <w:tcW w:w="415" w:type="pct"/>
            <w:tcBorders>
              <w:top w:val="nil"/>
              <w:left w:val="nil"/>
              <w:bottom w:val="nil"/>
              <w:right w:val="nil"/>
            </w:tcBorders>
            <w:shd w:val="clear" w:color="auto" w:fill="auto"/>
            <w:noWrap/>
            <w:vAlign w:val="center"/>
            <w:hideMark/>
          </w:tcPr>
          <w:p w14:paraId="389F2DF5"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151.2</w:t>
            </w:r>
          </w:p>
        </w:tc>
      </w:tr>
      <w:tr w:rsidR="00A32F3C" w:rsidRPr="00A32F3C" w14:paraId="52E91B98" w14:textId="77777777" w:rsidTr="008C031E">
        <w:trPr>
          <w:trHeight w:val="300"/>
          <w:jc w:val="center"/>
        </w:trPr>
        <w:tc>
          <w:tcPr>
            <w:tcW w:w="632" w:type="pct"/>
            <w:vMerge/>
            <w:tcBorders>
              <w:top w:val="nil"/>
              <w:left w:val="nil"/>
              <w:bottom w:val="single" w:sz="4" w:space="0" w:color="000000"/>
              <w:right w:val="nil"/>
            </w:tcBorders>
            <w:vAlign w:val="center"/>
            <w:hideMark/>
          </w:tcPr>
          <w:p w14:paraId="62EFFE94" w14:textId="77777777" w:rsidR="00A32F3C" w:rsidRPr="00A32F3C" w:rsidRDefault="00A32F3C" w:rsidP="00A32F3C">
            <w:pPr>
              <w:spacing w:after="0" w:line="240" w:lineRule="auto"/>
              <w:rPr>
                <w:rFonts w:ascii="Arial" w:eastAsia="Times New Roman" w:hAnsi="Arial" w:cs="Arial"/>
                <w:i/>
                <w:iCs/>
                <w:color w:val="000000"/>
                <w:sz w:val="18"/>
                <w:szCs w:val="18"/>
              </w:rPr>
            </w:pPr>
          </w:p>
        </w:tc>
        <w:tc>
          <w:tcPr>
            <w:tcW w:w="313" w:type="pct"/>
            <w:tcBorders>
              <w:top w:val="nil"/>
              <w:left w:val="nil"/>
              <w:bottom w:val="nil"/>
              <w:right w:val="nil"/>
            </w:tcBorders>
            <w:shd w:val="clear" w:color="auto" w:fill="auto"/>
            <w:noWrap/>
            <w:hideMark/>
          </w:tcPr>
          <w:p w14:paraId="2C066D73"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40th</w:t>
            </w:r>
          </w:p>
        </w:tc>
        <w:tc>
          <w:tcPr>
            <w:tcW w:w="391" w:type="pct"/>
            <w:tcBorders>
              <w:top w:val="nil"/>
              <w:left w:val="nil"/>
              <w:bottom w:val="nil"/>
              <w:right w:val="nil"/>
            </w:tcBorders>
            <w:shd w:val="clear" w:color="auto" w:fill="auto"/>
            <w:noWrap/>
            <w:vAlign w:val="center"/>
            <w:hideMark/>
          </w:tcPr>
          <w:p w14:paraId="0DA1AE05"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16.1</w:t>
            </w:r>
          </w:p>
        </w:tc>
        <w:tc>
          <w:tcPr>
            <w:tcW w:w="396" w:type="pct"/>
            <w:tcBorders>
              <w:top w:val="nil"/>
              <w:left w:val="nil"/>
              <w:bottom w:val="nil"/>
              <w:right w:val="nil"/>
            </w:tcBorders>
            <w:shd w:val="clear" w:color="auto" w:fill="auto"/>
            <w:noWrap/>
            <w:vAlign w:val="center"/>
            <w:hideMark/>
          </w:tcPr>
          <w:p w14:paraId="0E9DB61C"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12.4</w:t>
            </w:r>
          </w:p>
        </w:tc>
        <w:tc>
          <w:tcPr>
            <w:tcW w:w="512" w:type="pct"/>
            <w:tcBorders>
              <w:top w:val="nil"/>
              <w:left w:val="nil"/>
              <w:bottom w:val="nil"/>
              <w:right w:val="nil"/>
            </w:tcBorders>
            <w:shd w:val="clear" w:color="auto" w:fill="auto"/>
            <w:noWrap/>
            <w:vAlign w:val="center"/>
            <w:hideMark/>
          </w:tcPr>
          <w:p w14:paraId="535FFDCD"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0.0</w:t>
            </w:r>
          </w:p>
        </w:tc>
        <w:tc>
          <w:tcPr>
            <w:tcW w:w="534" w:type="pct"/>
            <w:tcBorders>
              <w:top w:val="nil"/>
              <w:left w:val="nil"/>
              <w:bottom w:val="nil"/>
              <w:right w:val="nil"/>
            </w:tcBorders>
            <w:shd w:val="clear" w:color="auto" w:fill="auto"/>
            <w:noWrap/>
            <w:vAlign w:val="center"/>
            <w:hideMark/>
          </w:tcPr>
          <w:p w14:paraId="24989311"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0.0</w:t>
            </w:r>
          </w:p>
        </w:tc>
        <w:tc>
          <w:tcPr>
            <w:tcW w:w="458" w:type="pct"/>
            <w:tcBorders>
              <w:top w:val="nil"/>
              <w:left w:val="nil"/>
              <w:bottom w:val="nil"/>
              <w:right w:val="nil"/>
            </w:tcBorders>
            <w:shd w:val="clear" w:color="auto" w:fill="auto"/>
            <w:noWrap/>
            <w:vAlign w:val="center"/>
            <w:hideMark/>
          </w:tcPr>
          <w:p w14:paraId="0C4EB4BE"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0.0</w:t>
            </w:r>
          </w:p>
        </w:tc>
        <w:tc>
          <w:tcPr>
            <w:tcW w:w="399" w:type="pct"/>
            <w:tcBorders>
              <w:top w:val="nil"/>
              <w:left w:val="nil"/>
              <w:bottom w:val="nil"/>
              <w:right w:val="nil"/>
            </w:tcBorders>
            <w:shd w:val="clear" w:color="auto" w:fill="auto"/>
            <w:noWrap/>
            <w:vAlign w:val="center"/>
            <w:hideMark/>
          </w:tcPr>
          <w:p w14:paraId="42788E07"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36.9</w:t>
            </w:r>
          </w:p>
        </w:tc>
        <w:tc>
          <w:tcPr>
            <w:tcW w:w="144" w:type="pct"/>
            <w:tcBorders>
              <w:top w:val="nil"/>
              <w:left w:val="nil"/>
              <w:bottom w:val="nil"/>
              <w:right w:val="nil"/>
            </w:tcBorders>
            <w:shd w:val="clear" w:color="auto" w:fill="auto"/>
            <w:noWrap/>
            <w:vAlign w:val="center"/>
            <w:hideMark/>
          </w:tcPr>
          <w:p w14:paraId="25ED7471" w14:textId="77777777" w:rsidR="00A32F3C" w:rsidRPr="00A32F3C" w:rsidRDefault="00A32F3C" w:rsidP="00A32F3C">
            <w:pPr>
              <w:spacing w:after="0" w:line="240" w:lineRule="auto"/>
              <w:jc w:val="center"/>
              <w:rPr>
                <w:rFonts w:ascii="Calibri" w:eastAsia="Times New Roman" w:hAnsi="Calibri" w:cs="Times New Roman"/>
                <w:i/>
                <w:iCs/>
                <w:color w:val="000000"/>
              </w:rPr>
            </w:pPr>
          </w:p>
        </w:tc>
        <w:tc>
          <w:tcPr>
            <w:tcW w:w="415" w:type="pct"/>
            <w:tcBorders>
              <w:top w:val="nil"/>
              <w:left w:val="nil"/>
              <w:bottom w:val="nil"/>
              <w:right w:val="nil"/>
            </w:tcBorders>
            <w:shd w:val="clear" w:color="auto" w:fill="auto"/>
            <w:noWrap/>
            <w:vAlign w:val="center"/>
            <w:hideMark/>
          </w:tcPr>
          <w:p w14:paraId="2198DAFC"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146.0</w:t>
            </w:r>
          </w:p>
        </w:tc>
        <w:tc>
          <w:tcPr>
            <w:tcW w:w="391" w:type="pct"/>
            <w:tcBorders>
              <w:top w:val="nil"/>
              <w:left w:val="nil"/>
              <w:bottom w:val="nil"/>
              <w:right w:val="nil"/>
            </w:tcBorders>
            <w:shd w:val="clear" w:color="auto" w:fill="auto"/>
            <w:noWrap/>
            <w:vAlign w:val="center"/>
            <w:hideMark/>
          </w:tcPr>
          <w:p w14:paraId="0015B76A"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30.9</w:t>
            </w:r>
          </w:p>
        </w:tc>
        <w:tc>
          <w:tcPr>
            <w:tcW w:w="415" w:type="pct"/>
            <w:tcBorders>
              <w:top w:val="nil"/>
              <w:left w:val="nil"/>
              <w:bottom w:val="nil"/>
              <w:right w:val="nil"/>
            </w:tcBorders>
            <w:shd w:val="clear" w:color="auto" w:fill="auto"/>
            <w:noWrap/>
            <w:vAlign w:val="center"/>
            <w:hideMark/>
          </w:tcPr>
          <w:p w14:paraId="5C2A0405"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203.9</w:t>
            </w:r>
          </w:p>
        </w:tc>
      </w:tr>
      <w:tr w:rsidR="00A32F3C" w:rsidRPr="00A32F3C" w14:paraId="2B3678F5" w14:textId="77777777" w:rsidTr="008C031E">
        <w:trPr>
          <w:trHeight w:val="300"/>
          <w:jc w:val="center"/>
        </w:trPr>
        <w:tc>
          <w:tcPr>
            <w:tcW w:w="632" w:type="pct"/>
            <w:vMerge/>
            <w:tcBorders>
              <w:top w:val="nil"/>
              <w:left w:val="nil"/>
              <w:bottom w:val="single" w:sz="4" w:space="0" w:color="000000"/>
              <w:right w:val="nil"/>
            </w:tcBorders>
            <w:vAlign w:val="center"/>
            <w:hideMark/>
          </w:tcPr>
          <w:p w14:paraId="53D46D49" w14:textId="77777777" w:rsidR="00A32F3C" w:rsidRPr="00A32F3C" w:rsidRDefault="00A32F3C" w:rsidP="00A32F3C">
            <w:pPr>
              <w:spacing w:after="0" w:line="240" w:lineRule="auto"/>
              <w:rPr>
                <w:rFonts w:ascii="Arial" w:eastAsia="Times New Roman" w:hAnsi="Arial" w:cs="Arial"/>
                <w:i/>
                <w:iCs/>
                <w:color w:val="000000"/>
                <w:sz w:val="18"/>
                <w:szCs w:val="18"/>
              </w:rPr>
            </w:pPr>
          </w:p>
        </w:tc>
        <w:tc>
          <w:tcPr>
            <w:tcW w:w="313" w:type="pct"/>
            <w:tcBorders>
              <w:top w:val="nil"/>
              <w:left w:val="nil"/>
              <w:bottom w:val="nil"/>
              <w:right w:val="nil"/>
            </w:tcBorders>
            <w:shd w:val="clear" w:color="auto" w:fill="auto"/>
            <w:noWrap/>
            <w:hideMark/>
          </w:tcPr>
          <w:p w14:paraId="177165E9"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60th</w:t>
            </w:r>
          </w:p>
        </w:tc>
        <w:tc>
          <w:tcPr>
            <w:tcW w:w="391" w:type="pct"/>
            <w:tcBorders>
              <w:top w:val="nil"/>
              <w:left w:val="nil"/>
              <w:bottom w:val="nil"/>
              <w:right w:val="nil"/>
            </w:tcBorders>
            <w:shd w:val="clear" w:color="auto" w:fill="auto"/>
            <w:noWrap/>
            <w:vAlign w:val="center"/>
            <w:hideMark/>
          </w:tcPr>
          <w:p w14:paraId="745F4DB2"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21.7</w:t>
            </w:r>
          </w:p>
        </w:tc>
        <w:tc>
          <w:tcPr>
            <w:tcW w:w="396" w:type="pct"/>
            <w:tcBorders>
              <w:top w:val="nil"/>
              <w:left w:val="nil"/>
              <w:bottom w:val="nil"/>
              <w:right w:val="nil"/>
            </w:tcBorders>
            <w:shd w:val="clear" w:color="auto" w:fill="auto"/>
            <w:noWrap/>
            <w:vAlign w:val="center"/>
            <w:hideMark/>
          </w:tcPr>
          <w:p w14:paraId="07348C65"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18.8</w:t>
            </w:r>
          </w:p>
        </w:tc>
        <w:tc>
          <w:tcPr>
            <w:tcW w:w="512" w:type="pct"/>
            <w:tcBorders>
              <w:top w:val="nil"/>
              <w:left w:val="nil"/>
              <w:bottom w:val="nil"/>
              <w:right w:val="nil"/>
            </w:tcBorders>
            <w:shd w:val="clear" w:color="auto" w:fill="auto"/>
            <w:noWrap/>
            <w:vAlign w:val="center"/>
            <w:hideMark/>
          </w:tcPr>
          <w:p w14:paraId="05FAB35F"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2.6</w:t>
            </w:r>
          </w:p>
        </w:tc>
        <w:tc>
          <w:tcPr>
            <w:tcW w:w="534" w:type="pct"/>
            <w:tcBorders>
              <w:top w:val="nil"/>
              <w:left w:val="nil"/>
              <w:bottom w:val="nil"/>
              <w:right w:val="nil"/>
            </w:tcBorders>
            <w:shd w:val="clear" w:color="auto" w:fill="auto"/>
            <w:noWrap/>
            <w:vAlign w:val="center"/>
            <w:hideMark/>
          </w:tcPr>
          <w:p w14:paraId="7DBFEB38"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0.0</w:t>
            </w:r>
          </w:p>
        </w:tc>
        <w:tc>
          <w:tcPr>
            <w:tcW w:w="458" w:type="pct"/>
            <w:tcBorders>
              <w:top w:val="nil"/>
              <w:left w:val="nil"/>
              <w:bottom w:val="nil"/>
              <w:right w:val="nil"/>
            </w:tcBorders>
            <w:shd w:val="clear" w:color="auto" w:fill="auto"/>
            <w:noWrap/>
            <w:vAlign w:val="center"/>
            <w:hideMark/>
          </w:tcPr>
          <w:p w14:paraId="46AFCDE3"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3.2</w:t>
            </w:r>
          </w:p>
        </w:tc>
        <w:tc>
          <w:tcPr>
            <w:tcW w:w="399" w:type="pct"/>
            <w:tcBorders>
              <w:top w:val="nil"/>
              <w:left w:val="nil"/>
              <w:bottom w:val="nil"/>
              <w:right w:val="nil"/>
            </w:tcBorders>
            <w:shd w:val="clear" w:color="auto" w:fill="auto"/>
            <w:noWrap/>
            <w:vAlign w:val="center"/>
            <w:hideMark/>
          </w:tcPr>
          <w:p w14:paraId="617A51C2"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49.9</w:t>
            </w:r>
          </w:p>
        </w:tc>
        <w:tc>
          <w:tcPr>
            <w:tcW w:w="144" w:type="pct"/>
            <w:tcBorders>
              <w:top w:val="nil"/>
              <w:left w:val="nil"/>
              <w:bottom w:val="nil"/>
              <w:right w:val="nil"/>
            </w:tcBorders>
            <w:shd w:val="clear" w:color="auto" w:fill="auto"/>
            <w:noWrap/>
            <w:vAlign w:val="center"/>
            <w:hideMark/>
          </w:tcPr>
          <w:p w14:paraId="2C9F6694" w14:textId="77777777" w:rsidR="00A32F3C" w:rsidRPr="00A32F3C" w:rsidRDefault="00A32F3C" w:rsidP="00A32F3C">
            <w:pPr>
              <w:spacing w:after="0" w:line="240" w:lineRule="auto"/>
              <w:jc w:val="center"/>
              <w:rPr>
                <w:rFonts w:ascii="Calibri" w:eastAsia="Times New Roman" w:hAnsi="Calibri" w:cs="Times New Roman"/>
                <w:i/>
                <w:iCs/>
                <w:color w:val="000000"/>
              </w:rPr>
            </w:pPr>
          </w:p>
        </w:tc>
        <w:tc>
          <w:tcPr>
            <w:tcW w:w="415" w:type="pct"/>
            <w:tcBorders>
              <w:top w:val="nil"/>
              <w:left w:val="nil"/>
              <w:bottom w:val="nil"/>
              <w:right w:val="nil"/>
            </w:tcBorders>
            <w:shd w:val="clear" w:color="auto" w:fill="auto"/>
            <w:noWrap/>
            <w:vAlign w:val="center"/>
            <w:hideMark/>
          </w:tcPr>
          <w:p w14:paraId="7A2F1334"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156.2</w:t>
            </w:r>
          </w:p>
        </w:tc>
        <w:tc>
          <w:tcPr>
            <w:tcW w:w="391" w:type="pct"/>
            <w:tcBorders>
              <w:top w:val="nil"/>
              <w:left w:val="nil"/>
              <w:bottom w:val="nil"/>
              <w:right w:val="nil"/>
            </w:tcBorders>
            <w:shd w:val="clear" w:color="auto" w:fill="auto"/>
            <w:noWrap/>
            <w:vAlign w:val="center"/>
            <w:hideMark/>
          </w:tcPr>
          <w:p w14:paraId="7B00B11E"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64.8</w:t>
            </w:r>
          </w:p>
        </w:tc>
        <w:tc>
          <w:tcPr>
            <w:tcW w:w="415" w:type="pct"/>
            <w:tcBorders>
              <w:top w:val="nil"/>
              <w:left w:val="nil"/>
              <w:bottom w:val="nil"/>
              <w:right w:val="nil"/>
            </w:tcBorders>
            <w:shd w:val="clear" w:color="auto" w:fill="auto"/>
            <w:noWrap/>
            <w:vAlign w:val="center"/>
            <w:hideMark/>
          </w:tcPr>
          <w:p w14:paraId="6497B638"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319.7</w:t>
            </w:r>
          </w:p>
        </w:tc>
      </w:tr>
      <w:tr w:rsidR="00A32F3C" w:rsidRPr="00A32F3C" w14:paraId="4E43B7FF" w14:textId="77777777" w:rsidTr="008C031E">
        <w:trPr>
          <w:trHeight w:val="300"/>
          <w:jc w:val="center"/>
        </w:trPr>
        <w:tc>
          <w:tcPr>
            <w:tcW w:w="632" w:type="pct"/>
            <w:vMerge/>
            <w:tcBorders>
              <w:top w:val="nil"/>
              <w:left w:val="nil"/>
              <w:bottom w:val="single" w:sz="4" w:space="0" w:color="000000"/>
              <w:right w:val="nil"/>
            </w:tcBorders>
            <w:vAlign w:val="center"/>
            <w:hideMark/>
          </w:tcPr>
          <w:p w14:paraId="63CB1715" w14:textId="77777777" w:rsidR="00A32F3C" w:rsidRPr="00A32F3C" w:rsidRDefault="00A32F3C" w:rsidP="00A32F3C">
            <w:pPr>
              <w:spacing w:after="0" w:line="240" w:lineRule="auto"/>
              <w:rPr>
                <w:rFonts w:ascii="Arial" w:eastAsia="Times New Roman" w:hAnsi="Arial" w:cs="Arial"/>
                <w:i/>
                <w:iCs/>
                <w:color w:val="000000"/>
                <w:sz w:val="18"/>
                <w:szCs w:val="18"/>
              </w:rPr>
            </w:pPr>
          </w:p>
        </w:tc>
        <w:tc>
          <w:tcPr>
            <w:tcW w:w="313" w:type="pct"/>
            <w:tcBorders>
              <w:top w:val="nil"/>
              <w:left w:val="nil"/>
              <w:bottom w:val="nil"/>
              <w:right w:val="nil"/>
            </w:tcBorders>
            <w:shd w:val="clear" w:color="auto" w:fill="auto"/>
            <w:noWrap/>
            <w:hideMark/>
          </w:tcPr>
          <w:p w14:paraId="014176CC"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80th</w:t>
            </w:r>
          </w:p>
        </w:tc>
        <w:tc>
          <w:tcPr>
            <w:tcW w:w="391" w:type="pct"/>
            <w:tcBorders>
              <w:top w:val="nil"/>
              <w:left w:val="nil"/>
              <w:bottom w:val="nil"/>
              <w:right w:val="nil"/>
            </w:tcBorders>
            <w:shd w:val="clear" w:color="auto" w:fill="auto"/>
            <w:noWrap/>
            <w:vAlign w:val="center"/>
            <w:hideMark/>
          </w:tcPr>
          <w:p w14:paraId="47770E61"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29.7</w:t>
            </w:r>
          </w:p>
        </w:tc>
        <w:tc>
          <w:tcPr>
            <w:tcW w:w="396" w:type="pct"/>
            <w:tcBorders>
              <w:top w:val="nil"/>
              <w:left w:val="nil"/>
              <w:bottom w:val="nil"/>
              <w:right w:val="nil"/>
            </w:tcBorders>
            <w:shd w:val="clear" w:color="auto" w:fill="auto"/>
            <w:noWrap/>
            <w:vAlign w:val="center"/>
            <w:hideMark/>
          </w:tcPr>
          <w:p w14:paraId="3D6F87C4"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30.0</w:t>
            </w:r>
          </w:p>
        </w:tc>
        <w:tc>
          <w:tcPr>
            <w:tcW w:w="512" w:type="pct"/>
            <w:tcBorders>
              <w:top w:val="nil"/>
              <w:left w:val="nil"/>
              <w:bottom w:val="nil"/>
              <w:right w:val="nil"/>
            </w:tcBorders>
            <w:shd w:val="clear" w:color="auto" w:fill="auto"/>
            <w:noWrap/>
            <w:vAlign w:val="center"/>
            <w:hideMark/>
          </w:tcPr>
          <w:p w14:paraId="7AB8380D"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4.9</w:t>
            </w:r>
          </w:p>
        </w:tc>
        <w:tc>
          <w:tcPr>
            <w:tcW w:w="534" w:type="pct"/>
            <w:tcBorders>
              <w:top w:val="nil"/>
              <w:left w:val="nil"/>
              <w:bottom w:val="nil"/>
              <w:right w:val="nil"/>
            </w:tcBorders>
            <w:shd w:val="clear" w:color="auto" w:fill="auto"/>
            <w:noWrap/>
            <w:vAlign w:val="center"/>
            <w:hideMark/>
          </w:tcPr>
          <w:p w14:paraId="084B405D"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4.9</w:t>
            </w:r>
          </w:p>
        </w:tc>
        <w:tc>
          <w:tcPr>
            <w:tcW w:w="458" w:type="pct"/>
            <w:tcBorders>
              <w:top w:val="nil"/>
              <w:left w:val="nil"/>
              <w:bottom w:val="nil"/>
              <w:right w:val="nil"/>
            </w:tcBorders>
            <w:shd w:val="clear" w:color="auto" w:fill="auto"/>
            <w:noWrap/>
            <w:vAlign w:val="center"/>
            <w:hideMark/>
          </w:tcPr>
          <w:p w14:paraId="49F0EA27"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6.3</w:t>
            </w:r>
          </w:p>
        </w:tc>
        <w:tc>
          <w:tcPr>
            <w:tcW w:w="399" w:type="pct"/>
            <w:tcBorders>
              <w:top w:val="nil"/>
              <w:left w:val="nil"/>
              <w:bottom w:val="nil"/>
              <w:right w:val="nil"/>
            </w:tcBorders>
            <w:shd w:val="clear" w:color="auto" w:fill="auto"/>
            <w:noWrap/>
            <w:vAlign w:val="center"/>
            <w:hideMark/>
          </w:tcPr>
          <w:p w14:paraId="3A53C71D"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69.0</w:t>
            </w:r>
          </w:p>
        </w:tc>
        <w:tc>
          <w:tcPr>
            <w:tcW w:w="144" w:type="pct"/>
            <w:tcBorders>
              <w:top w:val="nil"/>
              <w:left w:val="nil"/>
              <w:bottom w:val="nil"/>
              <w:right w:val="nil"/>
            </w:tcBorders>
            <w:shd w:val="clear" w:color="auto" w:fill="auto"/>
            <w:noWrap/>
            <w:vAlign w:val="center"/>
            <w:hideMark/>
          </w:tcPr>
          <w:p w14:paraId="3B0A816C" w14:textId="77777777" w:rsidR="00A32F3C" w:rsidRPr="00A32F3C" w:rsidRDefault="00A32F3C" w:rsidP="00A32F3C">
            <w:pPr>
              <w:spacing w:after="0" w:line="240" w:lineRule="auto"/>
              <w:jc w:val="center"/>
              <w:rPr>
                <w:rFonts w:ascii="Calibri" w:eastAsia="Times New Roman" w:hAnsi="Calibri" w:cs="Times New Roman"/>
                <w:i/>
                <w:iCs/>
                <w:color w:val="000000"/>
              </w:rPr>
            </w:pPr>
          </w:p>
        </w:tc>
        <w:tc>
          <w:tcPr>
            <w:tcW w:w="415" w:type="pct"/>
            <w:tcBorders>
              <w:top w:val="nil"/>
              <w:left w:val="nil"/>
              <w:bottom w:val="nil"/>
              <w:right w:val="nil"/>
            </w:tcBorders>
            <w:shd w:val="clear" w:color="auto" w:fill="auto"/>
            <w:noWrap/>
            <w:vAlign w:val="center"/>
            <w:hideMark/>
          </w:tcPr>
          <w:p w14:paraId="1D13D691"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365.0</w:t>
            </w:r>
          </w:p>
        </w:tc>
        <w:tc>
          <w:tcPr>
            <w:tcW w:w="391" w:type="pct"/>
            <w:tcBorders>
              <w:top w:val="nil"/>
              <w:left w:val="nil"/>
              <w:bottom w:val="nil"/>
              <w:right w:val="nil"/>
            </w:tcBorders>
            <w:shd w:val="clear" w:color="auto" w:fill="auto"/>
            <w:noWrap/>
            <w:vAlign w:val="center"/>
            <w:hideMark/>
          </w:tcPr>
          <w:p w14:paraId="1D1B3359"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125.0</w:t>
            </w:r>
          </w:p>
        </w:tc>
        <w:tc>
          <w:tcPr>
            <w:tcW w:w="415" w:type="pct"/>
            <w:tcBorders>
              <w:top w:val="nil"/>
              <w:left w:val="nil"/>
              <w:bottom w:val="nil"/>
              <w:right w:val="nil"/>
            </w:tcBorders>
            <w:shd w:val="clear" w:color="auto" w:fill="auto"/>
            <w:noWrap/>
            <w:vAlign w:val="center"/>
            <w:hideMark/>
          </w:tcPr>
          <w:p w14:paraId="378D996D"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431.6</w:t>
            </w:r>
          </w:p>
        </w:tc>
      </w:tr>
      <w:tr w:rsidR="00A32F3C" w:rsidRPr="00A32F3C" w14:paraId="257413D1" w14:textId="77777777" w:rsidTr="008C031E">
        <w:trPr>
          <w:trHeight w:val="300"/>
          <w:jc w:val="center"/>
        </w:trPr>
        <w:tc>
          <w:tcPr>
            <w:tcW w:w="632" w:type="pct"/>
            <w:vMerge/>
            <w:tcBorders>
              <w:top w:val="nil"/>
              <w:left w:val="nil"/>
              <w:bottom w:val="single" w:sz="4" w:space="0" w:color="000000"/>
              <w:right w:val="nil"/>
            </w:tcBorders>
            <w:vAlign w:val="center"/>
            <w:hideMark/>
          </w:tcPr>
          <w:p w14:paraId="16F6A3D5" w14:textId="77777777" w:rsidR="00A32F3C" w:rsidRPr="00A32F3C" w:rsidRDefault="00A32F3C" w:rsidP="00A32F3C">
            <w:pPr>
              <w:spacing w:after="0" w:line="240" w:lineRule="auto"/>
              <w:rPr>
                <w:rFonts w:ascii="Arial" w:eastAsia="Times New Roman" w:hAnsi="Arial" w:cs="Arial"/>
                <w:i/>
                <w:iCs/>
                <w:color w:val="000000"/>
                <w:sz w:val="18"/>
                <w:szCs w:val="18"/>
              </w:rPr>
            </w:pPr>
          </w:p>
        </w:tc>
        <w:tc>
          <w:tcPr>
            <w:tcW w:w="313" w:type="pct"/>
            <w:tcBorders>
              <w:top w:val="nil"/>
              <w:left w:val="nil"/>
              <w:bottom w:val="single" w:sz="4" w:space="0" w:color="auto"/>
              <w:right w:val="nil"/>
            </w:tcBorders>
            <w:shd w:val="clear" w:color="auto" w:fill="auto"/>
            <w:noWrap/>
            <w:hideMark/>
          </w:tcPr>
          <w:p w14:paraId="0EF7CEF7"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Max</w:t>
            </w:r>
          </w:p>
        </w:tc>
        <w:tc>
          <w:tcPr>
            <w:tcW w:w="391" w:type="pct"/>
            <w:tcBorders>
              <w:top w:val="nil"/>
              <w:left w:val="nil"/>
              <w:bottom w:val="single" w:sz="4" w:space="0" w:color="auto"/>
              <w:right w:val="nil"/>
            </w:tcBorders>
            <w:shd w:val="clear" w:color="auto" w:fill="auto"/>
            <w:noWrap/>
            <w:vAlign w:val="center"/>
            <w:hideMark/>
          </w:tcPr>
          <w:p w14:paraId="53CB9021"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88.2</w:t>
            </w:r>
          </w:p>
        </w:tc>
        <w:tc>
          <w:tcPr>
            <w:tcW w:w="396" w:type="pct"/>
            <w:tcBorders>
              <w:top w:val="nil"/>
              <w:left w:val="nil"/>
              <w:bottom w:val="single" w:sz="4" w:space="0" w:color="auto"/>
              <w:right w:val="nil"/>
            </w:tcBorders>
            <w:shd w:val="clear" w:color="auto" w:fill="auto"/>
            <w:noWrap/>
            <w:vAlign w:val="center"/>
            <w:hideMark/>
          </w:tcPr>
          <w:p w14:paraId="436516E2"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231.3</w:t>
            </w:r>
          </w:p>
        </w:tc>
        <w:tc>
          <w:tcPr>
            <w:tcW w:w="512" w:type="pct"/>
            <w:tcBorders>
              <w:top w:val="nil"/>
              <w:left w:val="nil"/>
              <w:bottom w:val="single" w:sz="4" w:space="0" w:color="auto"/>
              <w:right w:val="nil"/>
            </w:tcBorders>
            <w:shd w:val="clear" w:color="auto" w:fill="auto"/>
            <w:noWrap/>
            <w:vAlign w:val="center"/>
            <w:hideMark/>
          </w:tcPr>
          <w:p w14:paraId="182BAE3A"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31.6</w:t>
            </w:r>
          </w:p>
        </w:tc>
        <w:tc>
          <w:tcPr>
            <w:tcW w:w="534" w:type="pct"/>
            <w:tcBorders>
              <w:top w:val="nil"/>
              <w:left w:val="nil"/>
              <w:bottom w:val="single" w:sz="4" w:space="0" w:color="auto"/>
              <w:right w:val="nil"/>
            </w:tcBorders>
            <w:shd w:val="clear" w:color="auto" w:fill="auto"/>
            <w:noWrap/>
            <w:vAlign w:val="center"/>
            <w:hideMark/>
          </w:tcPr>
          <w:p w14:paraId="5EC79D8B"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44.4</w:t>
            </w:r>
          </w:p>
        </w:tc>
        <w:tc>
          <w:tcPr>
            <w:tcW w:w="458" w:type="pct"/>
            <w:tcBorders>
              <w:top w:val="nil"/>
              <w:left w:val="nil"/>
              <w:bottom w:val="single" w:sz="4" w:space="0" w:color="auto"/>
              <w:right w:val="nil"/>
            </w:tcBorders>
            <w:shd w:val="clear" w:color="auto" w:fill="auto"/>
            <w:noWrap/>
            <w:vAlign w:val="center"/>
            <w:hideMark/>
          </w:tcPr>
          <w:p w14:paraId="2AF3B95C"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225.0</w:t>
            </w:r>
          </w:p>
        </w:tc>
        <w:tc>
          <w:tcPr>
            <w:tcW w:w="399" w:type="pct"/>
            <w:tcBorders>
              <w:top w:val="nil"/>
              <w:left w:val="nil"/>
              <w:bottom w:val="single" w:sz="4" w:space="0" w:color="auto"/>
              <w:right w:val="nil"/>
            </w:tcBorders>
            <w:shd w:val="clear" w:color="auto" w:fill="auto"/>
            <w:noWrap/>
            <w:vAlign w:val="center"/>
            <w:hideMark/>
          </w:tcPr>
          <w:p w14:paraId="631ACC6C"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477.3</w:t>
            </w:r>
          </w:p>
        </w:tc>
        <w:tc>
          <w:tcPr>
            <w:tcW w:w="144" w:type="pct"/>
            <w:tcBorders>
              <w:top w:val="nil"/>
              <w:left w:val="nil"/>
              <w:bottom w:val="single" w:sz="4" w:space="0" w:color="auto"/>
              <w:right w:val="nil"/>
            </w:tcBorders>
            <w:shd w:val="clear" w:color="auto" w:fill="auto"/>
            <w:noWrap/>
            <w:vAlign w:val="center"/>
            <w:hideMark/>
          </w:tcPr>
          <w:p w14:paraId="16212873" w14:textId="77777777" w:rsidR="00A32F3C" w:rsidRPr="00A32F3C" w:rsidRDefault="00A32F3C" w:rsidP="00A32F3C">
            <w:pPr>
              <w:spacing w:after="0" w:line="240" w:lineRule="auto"/>
              <w:jc w:val="center"/>
              <w:rPr>
                <w:rFonts w:ascii="Calibri" w:eastAsia="Times New Roman" w:hAnsi="Calibri" w:cs="Times New Roman"/>
                <w:i/>
                <w:iCs/>
                <w:color w:val="000000"/>
              </w:rPr>
            </w:pPr>
          </w:p>
        </w:tc>
        <w:tc>
          <w:tcPr>
            <w:tcW w:w="415" w:type="pct"/>
            <w:tcBorders>
              <w:top w:val="nil"/>
              <w:left w:val="nil"/>
              <w:bottom w:val="single" w:sz="4" w:space="0" w:color="auto"/>
              <w:right w:val="nil"/>
            </w:tcBorders>
            <w:shd w:val="clear" w:color="auto" w:fill="auto"/>
            <w:noWrap/>
            <w:vAlign w:val="center"/>
            <w:hideMark/>
          </w:tcPr>
          <w:p w14:paraId="111975C2"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1460.2</w:t>
            </w:r>
          </w:p>
        </w:tc>
        <w:tc>
          <w:tcPr>
            <w:tcW w:w="391" w:type="pct"/>
            <w:tcBorders>
              <w:top w:val="nil"/>
              <w:left w:val="nil"/>
              <w:bottom w:val="single" w:sz="4" w:space="0" w:color="auto"/>
              <w:right w:val="nil"/>
            </w:tcBorders>
            <w:shd w:val="clear" w:color="auto" w:fill="auto"/>
            <w:noWrap/>
            <w:vAlign w:val="center"/>
            <w:hideMark/>
          </w:tcPr>
          <w:p w14:paraId="18C74CE0"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692.7</w:t>
            </w:r>
          </w:p>
        </w:tc>
        <w:tc>
          <w:tcPr>
            <w:tcW w:w="415" w:type="pct"/>
            <w:tcBorders>
              <w:top w:val="nil"/>
              <w:left w:val="nil"/>
              <w:bottom w:val="single" w:sz="4" w:space="0" w:color="auto"/>
              <w:right w:val="nil"/>
            </w:tcBorders>
            <w:shd w:val="clear" w:color="auto" w:fill="auto"/>
            <w:noWrap/>
            <w:vAlign w:val="center"/>
            <w:hideMark/>
          </w:tcPr>
          <w:p w14:paraId="30DCE619" w14:textId="77777777" w:rsidR="00A32F3C" w:rsidRPr="00A32F3C" w:rsidRDefault="00A32F3C" w:rsidP="00A32F3C">
            <w:pPr>
              <w:spacing w:after="0" w:line="240" w:lineRule="auto"/>
              <w:jc w:val="center"/>
              <w:rPr>
                <w:rFonts w:ascii="Arial" w:eastAsia="Times New Roman" w:hAnsi="Arial" w:cs="Arial"/>
                <w:i/>
                <w:iCs/>
                <w:color w:val="000000"/>
                <w:sz w:val="18"/>
                <w:szCs w:val="18"/>
              </w:rPr>
            </w:pPr>
            <w:r w:rsidRPr="00A32F3C">
              <w:rPr>
                <w:rFonts w:ascii="Arial" w:eastAsia="Times New Roman" w:hAnsi="Arial" w:cs="Arial"/>
                <w:i/>
                <w:iCs/>
                <w:color w:val="000000"/>
                <w:sz w:val="18"/>
                <w:szCs w:val="18"/>
              </w:rPr>
              <w:t>1550.5</w:t>
            </w:r>
          </w:p>
        </w:tc>
      </w:tr>
    </w:tbl>
    <w:p w14:paraId="7128FE62" w14:textId="77777777" w:rsidR="002379D6" w:rsidRDefault="002379D6" w:rsidP="002379D6"/>
    <w:p w14:paraId="14EFB32E" w14:textId="77777777" w:rsidR="001C624B" w:rsidRDefault="0052701F" w:rsidP="009B7EFC">
      <w:pPr>
        <w:spacing w:before="120" w:after="120" w:line="360" w:lineRule="auto"/>
        <w:jc w:val="both"/>
      </w:pPr>
      <w:r>
        <w:t>Iodine-rich food avoiders were a minority, wi</w:t>
      </w:r>
      <w:r w:rsidR="000F2C41">
        <w:t xml:space="preserve">th 3.8% never consuming </w:t>
      </w:r>
      <w:r>
        <w:t>milk, 1.4% never consuming fish, 1.7% consuming low amounts of fish and dairy</w:t>
      </w:r>
      <w:r w:rsidRPr="0052701F">
        <w:t xml:space="preserve"> </w:t>
      </w:r>
      <w:r>
        <w:t>(less than 200g fish per week, less than 200g dairy per day, of which less than 100g should be milk). Furthermore, 0.2% combined low dairy consumption with no fish at all, and 0.8% avoid</w:t>
      </w:r>
      <w:r w:rsidR="00A81282">
        <w:t xml:space="preserve">ed both dairy and fish totally. </w:t>
      </w:r>
    </w:p>
    <w:p w14:paraId="4CB3DE0D" w14:textId="14EBF2F5" w:rsidR="00073DB4" w:rsidRDefault="00B17535" w:rsidP="009B7EFC">
      <w:pPr>
        <w:spacing w:before="120" w:after="120" w:line="360" w:lineRule="auto"/>
        <w:jc w:val="both"/>
      </w:pPr>
      <w:r>
        <w:t>In the subsample with extreme/middle iodine intake/avoidance n</w:t>
      </w:r>
      <w:r w:rsidR="008E028D">
        <w:t>o</w:t>
      </w:r>
      <w:r w:rsidR="001712EE">
        <w:t xml:space="preserve"> overlap </w:t>
      </w:r>
      <w:r w:rsidR="008E028D">
        <w:t>was observed between</w:t>
      </w:r>
      <w:r w:rsidR="001712EE">
        <w:t xml:space="preserve"> the individuals</w:t>
      </w:r>
      <w:r w:rsidR="001C624B">
        <w:t xml:space="preserve"> (n=189) </w:t>
      </w:r>
      <w:r w:rsidR="001712EE">
        <w:t xml:space="preserve">categorised under </w:t>
      </w:r>
      <w:r w:rsidR="002F1E12">
        <w:t xml:space="preserve">the </w:t>
      </w:r>
      <w:r w:rsidR="00D30DAE">
        <w:t xml:space="preserve">four </w:t>
      </w:r>
      <w:r w:rsidR="001712EE">
        <w:t xml:space="preserve">groups </w:t>
      </w:r>
      <w:r w:rsidR="002F1E12">
        <w:t xml:space="preserve">with </w:t>
      </w:r>
      <w:r w:rsidR="00CA7151">
        <w:t>patterns of</w:t>
      </w:r>
      <w:r w:rsidR="002F1E12">
        <w:t xml:space="preserve"> iodine intake</w:t>
      </w:r>
      <w:r w:rsidR="00CA7151">
        <w:t xml:space="preserve"> representative of a trait</w:t>
      </w:r>
      <w:r w:rsidR="00D30DAE">
        <w:t xml:space="preserve"> (Table 3)</w:t>
      </w:r>
      <w:r w:rsidR="001712EE">
        <w:t xml:space="preserve">. </w:t>
      </w:r>
    </w:p>
    <w:p w14:paraId="2B5A7AA8" w14:textId="77777777" w:rsidR="00073DB4" w:rsidRDefault="00073DB4" w:rsidP="00B02058"/>
    <w:p w14:paraId="49204204" w14:textId="02AD96D6" w:rsidR="00073DB4" w:rsidRPr="00073DB4" w:rsidRDefault="00073DB4" w:rsidP="00073DB4">
      <w:pPr>
        <w:pStyle w:val="Caption"/>
        <w:keepNext/>
        <w:rPr>
          <w:color w:val="auto"/>
        </w:rPr>
      </w:pPr>
      <w:r w:rsidRPr="00073DB4">
        <w:rPr>
          <w:color w:val="auto"/>
        </w:rPr>
        <w:t xml:space="preserve">Table </w:t>
      </w:r>
      <w:r w:rsidR="00A81282">
        <w:rPr>
          <w:color w:val="auto"/>
        </w:rPr>
        <w:t>3</w:t>
      </w:r>
      <w:r w:rsidR="008E028D">
        <w:rPr>
          <w:color w:val="auto"/>
        </w:rPr>
        <w:t>.</w:t>
      </w:r>
      <w:r w:rsidRPr="00073DB4">
        <w:rPr>
          <w:color w:val="auto"/>
        </w:rPr>
        <w:t xml:space="preserve"> Iodine-rich</w:t>
      </w:r>
      <w:r w:rsidR="008667BD">
        <w:rPr>
          <w:color w:val="auto"/>
        </w:rPr>
        <w:t xml:space="preserve"> food intake of the four </w:t>
      </w:r>
      <w:r w:rsidR="00EA42FC">
        <w:rPr>
          <w:color w:val="auto"/>
        </w:rPr>
        <w:t>g</w:t>
      </w:r>
      <w:r w:rsidRPr="00073DB4">
        <w:rPr>
          <w:color w:val="auto"/>
        </w:rPr>
        <w:t>roups</w:t>
      </w:r>
      <w:r w:rsidR="002F1E12">
        <w:rPr>
          <w:color w:val="auto"/>
        </w:rPr>
        <w:t xml:space="preserve"> with </w:t>
      </w:r>
      <w:r w:rsidR="00CA7151" w:rsidRPr="00CA7151">
        <w:rPr>
          <w:color w:val="auto"/>
        </w:rPr>
        <w:t>extreme/middle</w:t>
      </w:r>
      <w:r w:rsidR="00B17535">
        <w:rPr>
          <w:color w:val="auto"/>
        </w:rPr>
        <w:t xml:space="preserve"> iodine intake/avoidance </w:t>
      </w:r>
      <w:r>
        <w:rPr>
          <w:color w:val="auto"/>
        </w:rPr>
        <w:t>(n=189)</w:t>
      </w:r>
    </w:p>
    <w:tbl>
      <w:tblPr>
        <w:tblW w:w="5000" w:type="pct"/>
        <w:tblLook w:val="04A0" w:firstRow="1" w:lastRow="0" w:firstColumn="1" w:lastColumn="0" w:noHBand="0" w:noVBand="1"/>
      </w:tblPr>
      <w:tblGrid>
        <w:gridCol w:w="2699"/>
        <w:gridCol w:w="1529"/>
        <w:gridCol w:w="1637"/>
        <w:gridCol w:w="1529"/>
        <w:gridCol w:w="1632"/>
      </w:tblGrid>
      <w:tr w:rsidR="00073DB4" w:rsidRPr="00073DB4" w14:paraId="2B9D69DA" w14:textId="77777777" w:rsidTr="0007664C">
        <w:trPr>
          <w:trHeight w:val="300"/>
        </w:trPr>
        <w:tc>
          <w:tcPr>
            <w:tcW w:w="1495" w:type="pct"/>
            <w:tcBorders>
              <w:top w:val="single" w:sz="4" w:space="0" w:color="auto"/>
              <w:left w:val="nil"/>
              <w:bottom w:val="single" w:sz="4" w:space="0" w:color="auto"/>
              <w:right w:val="nil"/>
            </w:tcBorders>
            <w:shd w:val="clear" w:color="auto" w:fill="auto"/>
            <w:vAlign w:val="center"/>
            <w:hideMark/>
          </w:tcPr>
          <w:p w14:paraId="75917C20" w14:textId="77777777" w:rsidR="00073DB4" w:rsidRPr="00073DB4" w:rsidRDefault="00073DB4" w:rsidP="00073DB4">
            <w:pPr>
              <w:spacing w:after="0" w:line="240" w:lineRule="auto"/>
              <w:rPr>
                <w:rFonts w:ascii="Arial" w:eastAsia="Times New Roman" w:hAnsi="Arial" w:cs="Arial"/>
                <w:sz w:val="18"/>
                <w:szCs w:val="18"/>
              </w:rPr>
            </w:pPr>
            <w:r w:rsidRPr="00073DB4">
              <w:rPr>
                <w:rFonts w:ascii="Arial" w:eastAsia="Times New Roman" w:hAnsi="Arial" w:cs="Arial"/>
                <w:sz w:val="18"/>
                <w:szCs w:val="18"/>
              </w:rPr>
              <w:t> </w:t>
            </w:r>
          </w:p>
        </w:tc>
        <w:tc>
          <w:tcPr>
            <w:tcW w:w="847" w:type="pct"/>
            <w:tcBorders>
              <w:top w:val="single" w:sz="4" w:space="0" w:color="auto"/>
              <w:left w:val="nil"/>
              <w:bottom w:val="single" w:sz="4" w:space="0" w:color="auto"/>
              <w:right w:val="nil"/>
            </w:tcBorders>
            <w:shd w:val="clear" w:color="auto" w:fill="auto"/>
            <w:vAlign w:val="center"/>
            <w:hideMark/>
          </w:tcPr>
          <w:p w14:paraId="6953CE4F" w14:textId="77777777" w:rsidR="00073DB4" w:rsidRDefault="00073DB4" w:rsidP="00073DB4">
            <w:pPr>
              <w:spacing w:after="0" w:line="240" w:lineRule="auto"/>
              <w:jc w:val="center"/>
              <w:rPr>
                <w:rFonts w:ascii="Arial" w:eastAsia="Times New Roman" w:hAnsi="Arial" w:cs="Arial"/>
                <w:b/>
                <w:bCs/>
                <w:sz w:val="18"/>
                <w:szCs w:val="18"/>
              </w:rPr>
            </w:pPr>
            <w:r w:rsidRPr="00073DB4">
              <w:rPr>
                <w:rFonts w:ascii="Arial" w:eastAsia="Times New Roman" w:hAnsi="Arial" w:cs="Arial"/>
                <w:b/>
                <w:bCs/>
                <w:sz w:val="18"/>
                <w:szCs w:val="18"/>
              </w:rPr>
              <w:t>Group A</w:t>
            </w:r>
            <w:r w:rsidR="00D30DAE">
              <w:rPr>
                <w:rFonts w:ascii="Arial" w:eastAsia="Times New Roman" w:hAnsi="Arial" w:cs="Arial"/>
                <w:b/>
                <w:bCs/>
                <w:sz w:val="18"/>
                <w:szCs w:val="18"/>
              </w:rPr>
              <w:t xml:space="preserve"> </w:t>
            </w:r>
          </w:p>
          <w:p w14:paraId="4F1EA21C" w14:textId="77777777" w:rsidR="00D30DAE" w:rsidRPr="00073DB4" w:rsidRDefault="00D30DAE" w:rsidP="00073DB4">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Low intake of dairy and fish (n=63)</w:t>
            </w:r>
          </w:p>
        </w:tc>
        <w:tc>
          <w:tcPr>
            <w:tcW w:w="907" w:type="pct"/>
            <w:tcBorders>
              <w:top w:val="single" w:sz="4" w:space="0" w:color="auto"/>
              <w:left w:val="nil"/>
              <w:bottom w:val="single" w:sz="4" w:space="0" w:color="auto"/>
              <w:right w:val="nil"/>
            </w:tcBorders>
            <w:shd w:val="clear" w:color="auto" w:fill="auto"/>
            <w:vAlign w:val="center"/>
            <w:hideMark/>
          </w:tcPr>
          <w:p w14:paraId="653DFE36" w14:textId="77777777" w:rsidR="00D30DAE" w:rsidRDefault="00073DB4" w:rsidP="00073DB4">
            <w:pPr>
              <w:spacing w:after="0" w:line="240" w:lineRule="auto"/>
              <w:jc w:val="center"/>
              <w:rPr>
                <w:rFonts w:ascii="Arial" w:eastAsia="Times New Roman" w:hAnsi="Arial" w:cs="Arial"/>
                <w:b/>
                <w:bCs/>
                <w:sz w:val="18"/>
                <w:szCs w:val="18"/>
              </w:rPr>
            </w:pPr>
            <w:r w:rsidRPr="00073DB4">
              <w:rPr>
                <w:rFonts w:ascii="Arial" w:eastAsia="Times New Roman" w:hAnsi="Arial" w:cs="Arial"/>
                <w:b/>
                <w:bCs/>
                <w:sz w:val="18"/>
                <w:szCs w:val="18"/>
              </w:rPr>
              <w:t>Group B</w:t>
            </w:r>
            <w:r>
              <w:rPr>
                <w:rFonts w:ascii="Arial" w:eastAsia="Times New Roman" w:hAnsi="Arial" w:cs="Arial"/>
                <w:b/>
                <w:bCs/>
                <w:sz w:val="18"/>
                <w:szCs w:val="18"/>
              </w:rPr>
              <w:t xml:space="preserve"> </w:t>
            </w:r>
          </w:p>
          <w:p w14:paraId="164E48FE" w14:textId="77777777" w:rsidR="00AD4E52" w:rsidRDefault="00AD4E52" w:rsidP="00073DB4">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Dairy avoiders</w:t>
            </w:r>
          </w:p>
          <w:p w14:paraId="5452F6EA" w14:textId="77777777" w:rsidR="00073DB4" w:rsidRPr="00073DB4" w:rsidRDefault="00073DB4" w:rsidP="00073DB4">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(n=22)</w:t>
            </w:r>
          </w:p>
        </w:tc>
        <w:tc>
          <w:tcPr>
            <w:tcW w:w="847" w:type="pct"/>
            <w:tcBorders>
              <w:top w:val="single" w:sz="4" w:space="0" w:color="auto"/>
              <w:left w:val="nil"/>
              <w:bottom w:val="single" w:sz="4" w:space="0" w:color="auto"/>
              <w:right w:val="nil"/>
            </w:tcBorders>
            <w:shd w:val="clear" w:color="auto" w:fill="auto"/>
            <w:vAlign w:val="center"/>
            <w:hideMark/>
          </w:tcPr>
          <w:p w14:paraId="0DD74328" w14:textId="77777777" w:rsidR="00AD4E52" w:rsidRDefault="00073DB4" w:rsidP="00073DB4">
            <w:pPr>
              <w:spacing w:after="0" w:line="240" w:lineRule="auto"/>
              <w:jc w:val="center"/>
              <w:rPr>
                <w:rFonts w:ascii="Arial" w:eastAsia="Times New Roman" w:hAnsi="Arial" w:cs="Arial"/>
                <w:b/>
                <w:bCs/>
                <w:sz w:val="18"/>
                <w:szCs w:val="18"/>
              </w:rPr>
            </w:pPr>
            <w:r w:rsidRPr="00073DB4">
              <w:rPr>
                <w:rFonts w:ascii="Arial" w:eastAsia="Times New Roman" w:hAnsi="Arial" w:cs="Arial"/>
                <w:b/>
                <w:bCs/>
                <w:sz w:val="18"/>
                <w:szCs w:val="18"/>
              </w:rPr>
              <w:t>Group C</w:t>
            </w:r>
          </w:p>
          <w:p w14:paraId="16380856" w14:textId="77777777" w:rsidR="00AD4E52" w:rsidRDefault="00AD4E52" w:rsidP="00073DB4">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Medium intake of dairy and fish</w:t>
            </w:r>
          </w:p>
          <w:p w14:paraId="7EA4848F" w14:textId="77777777" w:rsidR="00073DB4" w:rsidRPr="00073DB4" w:rsidRDefault="00073DB4" w:rsidP="00073DB4">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 (n=76)</w:t>
            </w:r>
          </w:p>
        </w:tc>
        <w:tc>
          <w:tcPr>
            <w:tcW w:w="904" w:type="pct"/>
            <w:tcBorders>
              <w:top w:val="single" w:sz="4" w:space="0" w:color="auto"/>
              <w:left w:val="nil"/>
              <w:bottom w:val="single" w:sz="4" w:space="0" w:color="auto"/>
              <w:right w:val="nil"/>
            </w:tcBorders>
            <w:shd w:val="clear" w:color="auto" w:fill="auto"/>
            <w:vAlign w:val="center"/>
            <w:hideMark/>
          </w:tcPr>
          <w:p w14:paraId="087E606F" w14:textId="77777777" w:rsidR="00AD4E52" w:rsidRDefault="00073DB4" w:rsidP="00073DB4">
            <w:pPr>
              <w:spacing w:after="0" w:line="240" w:lineRule="auto"/>
              <w:jc w:val="center"/>
              <w:rPr>
                <w:rFonts w:ascii="Arial" w:eastAsia="Times New Roman" w:hAnsi="Arial" w:cs="Arial"/>
                <w:b/>
                <w:bCs/>
                <w:sz w:val="18"/>
                <w:szCs w:val="18"/>
              </w:rPr>
            </w:pPr>
            <w:r w:rsidRPr="00073DB4">
              <w:rPr>
                <w:rFonts w:ascii="Arial" w:eastAsia="Times New Roman" w:hAnsi="Arial" w:cs="Arial"/>
                <w:b/>
                <w:bCs/>
                <w:sz w:val="18"/>
                <w:szCs w:val="18"/>
              </w:rPr>
              <w:t>Group D</w:t>
            </w:r>
            <w:r>
              <w:rPr>
                <w:rFonts w:ascii="Arial" w:eastAsia="Times New Roman" w:hAnsi="Arial" w:cs="Arial"/>
                <w:b/>
                <w:bCs/>
                <w:sz w:val="18"/>
                <w:szCs w:val="18"/>
              </w:rPr>
              <w:t xml:space="preserve"> </w:t>
            </w:r>
          </w:p>
          <w:p w14:paraId="734626D0" w14:textId="77777777" w:rsidR="00AD4E52" w:rsidRDefault="00AD4E52" w:rsidP="00073DB4">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High intake of dairy and fish</w:t>
            </w:r>
          </w:p>
          <w:p w14:paraId="654BE502" w14:textId="77777777" w:rsidR="00073DB4" w:rsidRPr="00073DB4" w:rsidRDefault="00073DB4" w:rsidP="00073DB4">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(n=28)</w:t>
            </w:r>
          </w:p>
        </w:tc>
      </w:tr>
      <w:tr w:rsidR="00B1567A" w:rsidRPr="00073DB4" w14:paraId="22E50364" w14:textId="77777777" w:rsidTr="0007664C">
        <w:trPr>
          <w:trHeight w:val="300"/>
        </w:trPr>
        <w:tc>
          <w:tcPr>
            <w:tcW w:w="1495" w:type="pct"/>
            <w:tcBorders>
              <w:top w:val="single" w:sz="4" w:space="0" w:color="auto"/>
              <w:left w:val="nil"/>
              <w:bottom w:val="nil"/>
              <w:right w:val="nil"/>
            </w:tcBorders>
            <w:shd w:val="clear" w:color="auto" w:fill="auto"/>
            <w:vAlign w:val="center"/>
            <w:hideMark/>
          </w:tcPr>
          <w:p w14:paraId="50F287CB" w14:textId="77777777" w:rsidR="00B1567A" w:rsidRPr="00073DB4" w:rsidRDefault="00B1567A" w:rsidP="00073DB4">
            <w:pPr>
              <w:spacing w:after="0" w:line="240" w:lineRule="auto"/>
              <w:jc w:val="center"/>
              <w:rPr>
                <w:rFonts w:ascii="Arial" w:eastAsia="Times New Roman" w:hAnsi="Arial" w:cs="Arial"/>
                <w:sz w:val="18"/>
                <w:szCs w:val="18"/>
              </w:rPr>
            </w:pPr>
            <w:r w:rsidRPr="00073DB4">
              <w:rPr>
                <w:rFonts w:ascii="Arial" w:eastAsia="Times New Roman" w:hAnsi="Arial" w:cs="Arial"/>
                <w:sz w:val="18"/>
                <w:szCs w:val="18"/>
              </w:rPr>
              <w:t>White fish  (g/day)</w:t>
            </w:r>
          </w:p>
        </w:tc>
        <w:tc>
          <w:tcPr>
            <w:tcW w:w="847" w:type="pct"/>
            <w:tcBorders>
              <w:top w:val="single" w:sz="4" w:space="0" w:color="auto"/>
              <w:left w:val="nil"/>
              <w:bottom w:val="nil"/>
              <w:right w:val="nil"/>
            </w:tcBorders>
            <w:shd w:val="clear" w:color="auto" w:fill="auto"/>
            <w:noWrap/>
            <w:vAlign w:val="center"/>
            <w:hideMark/>
          </w:tcPr>
          <w:p w14:paraId="0350480C" w14:textId="77777777" w:rsidR="00B1567A" w:rsidRPr="00073DB4" w:rsidRDefault="00B1567A" w:rsidP="00B1567A">
            <w:pPr>
              <w:spacing w:after="0" w:line="240" w:lineRule="auto"/>
              <w:jc w:val="center"/>
              <w:rPr>
                <w:rFonts w:ascii="Arial" w:eastAsia="Times New Roman" w:hAnsi="Arial" w:cs="Arial"/>
                <w:sz w:val="18"/>
                <w:szCs w:val="18"/>
              </w:rPr>
            </w:pPr>
            <w:r w:rsidRPr="00073DB4">
              <w:rPr>
                <w:rFonts w:ascii="Arial" w:eastAsia="Times New Roman" w:hAnsi="Arial" w:cs="Arial"/>
                <w:sz w:val="18"/>
                <w:szCs w:val="18"/>
              </w:rPr>
              <w:t>16.1</w:t>
            </w:r>
            <w:r>
              <w:rPr>
                <w:rFonts w:ascii="Arial" w:eastAsia="Times New Roman" w:hAnsi="Arial" w:cs="Arial"/>
                <w:sz w:val="18"/>
                <w:szCs w:val="18"/>
              </w:rPr>
              <w:t xml:space="preserve"> (</w:t>
            </w:r>
            <w:r w:rsidRPr="00073DB4">
              <w:rPr>
                <w:rFonts w:ascii="Arial" w:eastAsia="Times New Roman" w:hAnsi="Arial" w:cs="Arial"/>
                <w:sz w:val="18"/>
                <w:szCs w:val="18"/>
              </w:rPr>
              <w:t>11.9</w:t>
            </w:r>
            <w:r>
              <w:rPr>
                <w:rFonts w:ascii="Arial" w:eastAsia="Times New Roman" w:hAnsi="Arial" w:cs="Arial"/>
                <w:sz w:val="18"/>
                <w:szCs w:val="18"/>
              </w:rPr>
              <w:t>)</w:t>
            </w:r>
          </w:p>
        </w:tc>
        <w:tc>
          <w:tcPr>
            <w:tcW w:w="907" w:type="pct"/>
            <w:tcBorders>
              <w:top w:val="single" w:sz="4" w:space="0" w:color="auto"/>
              <w:left w:val="nil"/>
              <w:bottom w:val="nil"/>
              <w:right w:val="nil"/>
            </w:tcBorders>
            <w:shd w:val="clear" w:color="auto" w:fill="auto"/>
            <w:noWrap/>
            <w:vAlign w:val="center"/>
            <w:hideMark/>
          </w:tcPr>
          <w:p w14:paraId="39E8AAE8" w14:textId="77777777" w:rsidR="00B1567A" w:rsidRPr="00073DB4" w:rsidRDefault="00B1567A" w:rsidP="00B1567A">
            <w:pPr>
              <w:spacing w:after="0" w:line="240" w:lineRule="auto"/>
              <w:jc w:val="center"/>
              <w:rPr>
                <w:rFonts w:ascii="Arial" w:eastAsia="Times New Roman" w:hAnsi="Arial" w:cs="Arial"/>
                <w:sz w:val="18"/>
                <w:szCs w:val="18"/>
              </w:rPr>
            </w:pPr>
            <w:r w:rsidRPr="00073DB4">
              <w:rPr>
                <w:rFonts w:ascii="Arial" w:eastAsia="Times New Roman" w:hAnsi="Arial" w:cs="Arial"/>
                <w:sz w:val="18"/>
                <w:szCs w:val="18"/>
              </w:rPr>
              <w:t>16.1</w:t>
            </w:r>
            <w:r>
              <w:rPr>
                <w:rFonts w:ascii="Arial" w:eastAsia="Times New Roman" w:hAnsi="Arial" w:cs="Arial"/>
                <w:sz w:val="18"/>
                <w:szCs w:val="18"/>
              </w:rPr>
              <w:t xml:space="preserve"> (</w:t>
            </w:r>
            <w:r w:rsidRPr="00073DB4">
              <w:rPr>
                <w:rFonts w:ascii="Arial" w:eastAsia="Times New Roman" w:hAnsi="Arial" w:cs="Arial"/>
                <w:sz w:val="18"/>
                <w:szCs w:val="18"/>
              </w:rPr>
              <w:t>18.8</w:t>
            </w:r>
            <w:r>
              <w:rPr>
                <w:rFonts w:ascii="Arial" w:eastAsia="Times New Roman" w:hAnsi="Arial" w:cs="Arial"/>
                <w:sz w:val="18"/>
                <w:szCs w:val="18"/>
              </w:rPr>
              <w:t>)</w:t>
            </w:r>
          </w:p>
        </w:tc>
        <w:tc>
          <w:tcPr>
            <w:tcW w:w="847" w:type="pct"/>
            <w:tcBorders>
              <w:top w:val="single" w:sz="4" w:space="0" w:color="auto"/>
              <w:left w:val="nil"/>
              <w:bottom w:val="nil"/>
              <w:right w:val="nil"/>
            </w:tcBorders>
            <w:shd w:val="clear" w:color="auto" w:fill="auto"/>
            <w:noWrap/>
            <w:vAlign w:val="center"/>
            <w:hideMark/>
          </w:tcPr>
          <w:p w14:paraId="2DF1691E" w14:textId="77777777" w:rsidR="00B1567A" w:rsidRPr="00073DB4" w:rsidRDefault="00B1567A" w:rsidP="00B1567A">
            <w:pPr>
              <w:spacing w:after="0" w:line="240" w:lineRule="auto"/>
              <w:jc w:val="center"/>
              <w:rPr>
                <w:rFonts w:ascii="Arial" w:eastAsia="Times New Roman" w:hAnsi="Arial" w:cs="Arial"/>
                <w:sz w:val="18"/>
                <w:szCs w:val="18"/>
              </w:rPr>
            </w:pPr>
            <w:r w:rsidRPr="00073DB4">
              <w:rPr>
                <w:rFonts w:ascii="Arial" w:eastAsia="Times New Roman" w:hAnsi="Arial" w:cs="Arial"/>
                <w:sz w:val="18"/>
                <w:szCs w:val="18"/>
              </w:rPr>
              <w:t>20.0</w:t>
            </w:r>
            <w:r>
              <w:rPr>
                <w:rFonts w:ascii="Arial" w:eastAsia="Times New Roman" w:hAnsi="Arial" w:cs="Arial"/>
                <w:sz w:val="18"/>
                <w:szCs w:val="18"/>
              </w:rPr>
              <w:t xml:space="preserve"> (</w:t>
            </w:r>
            <w:r w:rsidRPr="00073DB4">
              <w:rPr>
                <w:rFonts w:ascii="Arial" w:eastAsia="Times New Roman" w:hAnsi="Arial" w:cs="Arial"/>
                <w:sz w:val="18"/>
                <w:szCs w:val="18"/>
              </w:rPr>
              <w:t>9.6</w:t>
            </w:r>
            <w:r>
              <w:rPr>
                <w:rFonts w:ascii="Arial" w:eastAsia="Times New Roman" w:hAnsi="Arial" w:cs="Arial"/>
                <w:sz w:val="18"/>
                <w:szCs w:val="18"/>
              </w:rPr>
              <w:t>)</w:t>
            </w:r>
          </w:p>
        </w:tc>
        <w:tc>
          <w:tcPr>
            <w:tcW w:w="904" w:type="pct"/>
            <w:tcBorders>
              <w:top w:val="single" w:sz="4" w:space="0" w:color="auto"/>
              <w:left w:val="nil"/>
              <w:bottom w:val="nil"/>
              <w:right w:val="nil"/>
            </w:tcBorders>
            <w:shd w:val="clear" w:color="auto" w:fill="auto"/>
            <w:noWrap/>
            <w:vAlign w:val="center"/>
            <w:hideMark/>
          </w:tcPr>
          <w:p w14:paraId="215A5E6B" w14:textId="77777777" w:rsidR="00B1567A" w:rsidRPr="00073DB4" w:rsidRDefault="00B1567A" w:rsidP="00B1567A">
            <w:pPr>
              <w:spacing w:after="0" w:line="240" w:lineRule="auto"/>
              <w:jc w:val="center"/>
              <w:rPr>
                <w:rFonts w:ascii="Arial" w:eastAsia="Times New Roman" w:hAnsi="Arial" w:cs="Arial"/>
                <w:sz w:val="18"/>
                <w:szCs w:val="18"/>
              </w:rPr>
            </w:pPr>
            <w:r w:rsidRPr="00073DB4">
              <w:rPr>
                <w:rFonts w:ascii="Arial" w:eastAsia="Times New Roman" w:hAnsi="Arial" w:cs="Arial"/>
                <w:sz w:val="18"/>
                <w:szCs w:val="18"/>
              </w:rPr>
              <w:t>29.7</w:t>
            </w:r>
            <w:r>
              <w:rPr>
                <w:rFonts w:ascii="Arial" w:eastAsia="Times New Roman" w:hAnsi="Arial" w:cs="Arial"/>
                <w:sz w:val="18"/>
                <w:szCs w:val="18"/>
              </w:rPr>
              <w:t xml:space="preserve"> (</w:t>
            </w:r>
            <w:r w:rsidRPr="00073DB4">
              <w:rPr>
                <w:rFonts w:ascii="Arial" w:eastAsia="Times New Roman" w:hAnsi="Arial" w:cs="Arial"/>
                <w:sz w:val="18"/>
                <w:szCs w:val="18"/>
              </w:rPr>
              <w:t>25.4</w:t>
            </w:r>
            <w:r>
              <w:rPr>
                <w:rFonts w:ascii="Arial" w:eastAsia="Times New Roman" w:hAnsi="Arial" w:cs="Arial"/>
                <w:sz w:val="18"/>
                <w:szCs w:val="18"/>
              </w:rPr>
              <w:t>)</w:t>
            </w:r>
          </w:p>
        </w:tc>
      </w:tr>
      <w:tr w:rsidR="00B1567A" w:rsidRPr="00073DB4" w14:paraId="17117721" w14:textId="77777777" w:rsidTr="00B1567A">
        <w:trPr>
          <w:trHeight w:val="300"/>
        </w:trPr>
        <w:tc>
          <w:tcPr>
            <w:tcW w:w="1495" w:type="pct"/>
            <w:tcBorders>
              <w:top w:val="nil"/>
              <w:left w:val="nil"/>
              <w:bottom w:val="nil"/>
              <w:right w:val="nil"/>
            </w:tcBorders>
            <w:shd w:val="clear" w:color="auto" w:fill="auto"/>
            <w:vAlign w:val="center"/>
            <w:hideMark/>
          </w:tcPr>
          <w:p w14:paraId="46BFE8F9" w14:textId="77777777" w:rsidR="00B1567A" w:rsidRPr="00073DB4" w:rsidRDefault="00B1567A" w:rsidP="00073DB4">
            <w:pPr>
              <w:spacing w:after="0" w:line="240" w:lineRule="auto"/>
              <w:jc w:val="center"/>
              <w:rPr>
                <w:rFonts w:ascii="Arial" w:eastAsia="Times New Roman" w:hAnsi="Arial" w:cs="Arial"/>
                <w:sz w:val="18"/>
                <w:szCs w:val="18"/>
              </w:rPr>
            </w:pPr>
            <w:r w:rsidRPr="00073DB4">
              <w:rPr>
                <w:rFonts w:ascii="Arial" w:eastAsia="Times New Roman" w:hAnsi="Arial" w:cs="Arial"/>
                <w:sz w:val="18"/>
                <w:szCs w:val="18"/>
              </w:rPr>
              <w:t>Oily fish  (g/day)</w:t>
            </w:r>
          </w:p>
        </w:tc>
        <w:tc>
          <w:tcPr>
            <w:tcW w:w="847" w:type="pct"/>
            <w:tcBorders>
              <w:top w:val="nil"/>
              <w:left w:val="nil"/>
              <w:bottom w:val="nil"/>
              <w:right w:val="nil"/>
            </w:tcBorders>
            <w:shd w:val="clear" w:color="auto" w:fill="auto"/>
            <w:noWrap/>
            <w:vAlign w:val="center"/>
            <w:hideMark/>
          </w:tcPr>
          <w:p w14:paraId="4B596389" w14:textId="77777777" w:rsidR="00B1567A" w:rsidRPr="00073DB4" w:rsidRDefault="00B1567A" w:rsidP="00B1567A">
            <w:pPr>
              <w:spacing w:after="0" w:line="240" w:lineRule="auto"/>
              <w:jc w:val="center"/>
              <w:rPr>
                <w:rFonts w:ascii="Arial" w:eastAsia="Times New Roman" w:hAnsi="Arial" w:cs="Arial"/>
                <w:sz w:val="18"/>
                <w:szCs w:val="18"/>
              </w:rPr>
            </w:pPr>
            <w:r w:rsidRPr="00073DB4">
              <w:rPr>
                <w:rFonts w:ascii="Arial" w:eastAsia="Times New Roman" w:hAnsi="Arial" w:cs="Arial"/>
                <w:sz w:val="18"/>
                <w:szCs w:val="18"/>
              </w:rPr>
              <w:t>6.5</w:t>
            </w:r>
            <w:r>
              <w:rPr>
                <w:rFonts w:ascii="Arial" w:eastAsia="Times New Roman" w:hAnsi="Arial" w:cs="Arial"/>
                <w:sz w:val="18"/>
                <w:szCs w:val="18"/>
              </w:rPr>
              <w:t xml:space="preserve"> (</w:t>
            </w:r>
            <w:r w:rsidRPr="00073DB4">
              <w:rPr>
                <w:rFonts w:ascii="Arial" w:eastAsia="Times New Roman" w:hAnsi="Arial" w:cs="Arial"/>
                <w:sz w:val="18"/>
                <w:szCs w:val="18"/>
              </w:rPr>
              <w:t>12.1</w:t>
            </w:r>
            <w:r>
              <w:rPr>
                <w:rFonts w:ascii="Arial" w:eastAsia="Times New Roman" w:hAnsi="Arial" w:cs="Arial"/>
                <w:sz w:val="18"/>
                <w:szCs w:val="18"/>
              </w:rPr>
              <w:t>)</w:t>
            </w:r>
          </w:p>
        </w:tc>
        <w:tc>
          <w:tcPr>
            <w:tcW w:w="907" w:type="pct"/>
            <w:tcBorders>
              <w:top w:val="nil"/>
              <w:left w:val="nil"/>
              <w:bottom w:val="nil"/>
              <w:right w:val="nil"/>
            </w:tcBorders>
            <w:shd w:val="clear" w:color="auto" w:fill="auto"/>
            <w:noWrap/>
            <w:vAlign w:val="center"/>
            <w:hideMark/>
          </w:tcPr>
          <w:p w14:paraId="3F4C58C2" w14:textId="77777777" w:rsidR="00B1567A" w:rsidRPr="00073DB4" w:rsidRDefault="00B1567A" w:rsidP="00B1567A">
            <w:pPr>
              <w:spacing w:after="0" w:line="240" w:lineRule="auto"/>
              <w:jc w:val="center"/>
              <w:rPr>
                <w:rFonts w:ascii="Arial" w:eastAsia="Times New Roman" w:hAnsi="Arial" w:cs="Arial"/>
                <w:sz w:val="18"/>
                <w:szCs w:val="18"/>
              </w:rPr>
            </w:pPr>
            <w:r w:rsidRPr="00073DB4">
              <w:rPr>
                <w:rFonts w:ascii="Arial" w:eastAsia="Times New Roman" w:hAnsi="Arial" w:cs="Arial"/>
                <w:sz w:val="18"/>
                <w:szCs w:val="18"/>
              </w:rPr>
              <w:t>31.8</w:t>
            </w:r>
            <w:r>
              <w:rPr>
                <w:rFonts w:ascii="Arial" w:eastAsia="Times New Roman" w:hAnsi="Arial" w:cs="Arial"/>
                <w:sz w:val="18"/>
                <w:szCs w:val="18"/>
              </w:rPr>
              <w:t xml:space="preserve"> (</w:t>
            </w:r>
            <w:r w:rsidRPr="00073DB4">
              <w:rPr>
                <w:rFonts w:ascii="Arial" w:eastAsia="Times New Roman" w:hAnsi="Arial" w:cs="Arial"/>
                <w:sz w:val="18"/>
                <w:szCs w:val="18"/>
              </w:rPr>
              <w:t>30.1</w:t>
            </w:r>
            <w:r>
              <w:rPr>
                <w:rFonts w:ascii="Arial" w:eastAsia="Times New Roman" w:hAnsi="Arial" w:cs="Arial"/>
                <w:sz w:val="18"/>
                <w:szCs w:val="18"/>
              </w:rPr>
              <w:t>)</w:t>
            </w:r>
          </w:p>
        </w:tc>
        <w:tc>
          <w:tcPr>
            <w:tcW w:w="847" w:type="pct"/>
            <w:tcBorders>
              <w:top w:val="nil"/>
              <w:left w:val="nil"/>
              <w:bottom w:val="nil"/>
              <w:right w:val="nil"/>
            </w:tcBorders>
            <w:shd w:val="clear" w:color="auto" w:fill="auto"/>
            <w:noWrap/>
            <w:vAlign w:val="center"/>
            <w:hideMark/>
          </w:tcPr>
          <w:p w14:paraId="6EF5EA15" w14:textId="77777777" w:rsidR="00B1567A" w:rsidRPr="00073DB4" w:rsidRDefault="00B1567A" w:rsidP="00B1567A">
            <w:pPr>
              <w:spacing w:after="0" w:line="240" w:lineRule="auto"/>
              <w:jc w:val="center"/>
              <w:rPr>
                <w:rFonts w:ascii="Arial" w:eastAsia="Times New Roman" w:hAnsi="Arial" w:cs="Arial"/>
                <w:sz w:val="18"/>
                <w:szCs w:val="18"/>
              </w:rPr>
            </w:pPr>
            <w:r w:rsidRPr="00073DB4">
              <w:rPr>
                <w:rFonts w:ascii="Arial" w:eastAsia="Times New Roman" w:hAnsi="Arial" w:cs="Arial"/>
                <w:sz w:val="18"/>
                <w:szCs w:val="18"/>
              </w:rPr>
              <w:t>18.7</w:t>
            </w:r>
            <w:r>
              <w:rPr>
                <w:rFonts w:ascii="Arial" w:eastAsia="Times New Roman" w:hAnsi="Arial" w:cs="Arial"/>
                <w:sz w:val="18"/>
                <w:szCs w:val="18"/>
              </w:rPr>
              <w:t xml:space="preserve"> (</w:t>
            </w:r>
            <w:r w:rsidRPr="00073DB4">
              <w:rPr>
                <w:rFonts w:ascii="Arial" w:eastAsia="Times New Roman" w:hAnsi="Arial" w:cs="Arial"/>
                <w:sz w:val="18"/>
                <w:szCs w:val="18"/>
              </w:rPr>
              <w:t>13.3</w:t>
            </w:r>
            <w:r>
              <w:rPr>
                <w:rFonts w:ascii="Arial" w:eastAsia="Times New Roman" w:hAnsi="Arial" w:cs="Arial"/>
                <w:sz w:val="18"/>
                <w:szCs w:val="18"/>
              </w:rPr>
              <w:t>)</w:t>
            </w:r>
          </w:p>
        </w:tc>
        <w:tc>
          <w:tcPr>
            <w:tcW w:w="904" w:type="pct"/>
            <w:tcBorders>
              <w:top w:val="nil"/>
              <w:left w:val="nil"/>
              <w:bottom w:val="nil"/>
              <w:right w:val="nil"/>
            </w:tcBorders>
            <w:shd w:val="clear" w:color="auto" w:fill="auto"/>
            <w:noWrap/>
            <w:vAlign w:val="center"/>
            <w:hideMark/>
          </w:tcPr>
          <w:p w14:paraId="6B221F23" w14:textId="77777777" w:rsidR="00B1567A" w:rsidRPr="00073DB4" w:rsidRDefault="00B1567A" w:rsidP="00B1567A">
            <w:pPr>
              <w:spacing w:after="0" w:line="240" w:lineRule="auto"/>
              <w:jc w:val="center"/>
              <w:rPr>
                <w:rFonts w:ascii="Arial" w:eastAsia="Times New Roman" w:hAnsi="Arial" w:cs="Arial"/>
                <w:sz w:val="18"/>
                <w:szCs w:val="18"/>
              </w:rPr>
            </w:pPr>
            <w:r w:rsidRPr="00073DB4">
              <w:rPr>
                <w:rFonts w:ascii="Arial" w:eastAsia="Times New Roman" w:hAnsi="Arial" w:cs="Arial"/>
                <w:sz w:val="18"/>
                <w:szCs w:val="18"/>
              </w:rPr>
              <w:t>40.2</w:t>
            </w:r>
            <w:r>
              <w:rPr>
                <w:rFonts w:ascii="Arial" w:eastAsia="Times New Roman" w:hAnsi="Arial" w:cs="Arial"/>
                <w:sz w:val="18"/>
                <w:szCs w:val="18"/>
              </w:rPr>
              <w:t xml:space="preserve"> (</w:t>
            </w:r>
            <w:r w:rsidRPr="00073DB4">
              <w:rPr>
                <w:rFonts w:ascii="Arial" w:eastAsia="Times New Roman" w:hAnsi="Arial" w:cs="Arial"/>
                <w:sz w:val="18"/>
                <w:szCs w:val="18"/>
              </w:rPr>
              <w:t>35.6</w:t>
            </w:r>
            <w:r>
              <w:rPr>
                <w:rFonts w:ascii="Arial" w:eastAsia="Times New Roman" w:hAnsi="Arial" w:cs="Arial"/>
                <w:sz w:val="18"/>
                <w:szCs w:val="18"/>
              </w:rPr>
              <w:t>)</w:t>
            </w:r>
          </w:p>
        </w:tc>
      </w:tr>
      <w:tr w:rsidR="00B1567A" w:rsidRPr="00073DB4" w14:paraId="75E8D4DB" w14:textId="77777777" w:rsidTr="00B1567A">
        <w:trPr>
          <w:trHeight w:val="300"/>
        </w:trPr>
        <w:tc>
          <w:tcPr>
            <w:tcW w:w="1495" w:type="pct"/>
            <w:tcBorders>
              <w:top w:val="nil"/>
              <w:left w:val="nil"/>
              <w:bottom w:val="nil"/>
              <w:right w:val="nil"/>
            </w:tcBorders>
            <w:shd w:val="clear" w:color="auto" w:fill="auto"/>
            <w:vAlign w:val="center"/>
            <w:hideMark/>
          </w:tcPr>
          <w:p w14:paraId="1413F8BE" w14:textId="77777777" w:rsidR="00B1567A" w:rsidRPr="00073DB4" w:rsidRDefault="00B1567A" w:rsidP="00073DB4">
            <w:pPr>
              <w:spacing w:after="0" w:line="240" w:lineRule="auto"/>
              <w:jc w:val="center"/>
              <w:rPr>
                <w:rFonts w:ascii="Arial" w:eastAsia="Times New Roman" w:hAnsi="Arial" w:cs="Arial"/>
                <w:sz w:val="18"/>
                <w:szCs w:val="18"/>
              </w:rPr>
            </w:pPr>
            <w:r w:rsidRPr="00073DB4">
              <w:rPr>
                <w:rFonts w:ascii="Arial" w:eastAsia="Times New Roman" w:hAnsi="Arial" w:cs="Arial"/>
                <w:sz w:val="18"/>
                <w:szCs w:val="18"/>
              </w:rPr>
              <w:t>Shellfish  (g/day)</w:t>
            </w:r>
          </w:p>
        </w:tc>
        <w:tc>
          <w:tcPr>
            <w:tcW w:w="847" w:type="pct"/>
            <w:tcBorders>
              <w:top w:val="nil"/>
              <w:left w:val="nil"/>
              <w:bottom w:val="nil"/>
              <w:right w:val="nil"/>
            </w:tcBorders>
            <w:shd w:val="clear" w:color="auto" w:fill="auto"/>
            <w:noWrap/>
            <w:vAlign w:val="center"/>
            <w:hideMark/>
          </w:tcPr>
          <w:p w14:paraId="5D3A5D00" w14:textId="77777777" w:rsidR="00B1567A" w:rsidRPr="00073DB4" w:rsidRDefault="00B1567A" w:rsidP="00B1567A">
            <w:pPr>
              <w:spacing w:after="0" w:line="240" w:lineRule="auto"/>
              <w:jc w:val="center"/>
              <w:rPr>
                <w:rFonts w:ascii="Arial" w:eastAsia="Times New Roman" w:hAnsi="Arial" w:cs="Arial"/>
                <w:sz w:val="18"/>
                <w:szCs w:val="18"/>
              </w:rPr>
            </w:pPr>
            <w:r>
              <w:rPr>
                <w:rFonts w:ascii="Arial" w:eastAsia="Times New Roman" w:hAnsi="Arial" w:cs="Arial"/>
                <w:sz w:val="18"/>
                <w:szCs w:val="18"/>
              </w:rPr>
              <w:t>0</w:t>
            </w:r>
            <w:r w:rsidRPr="00073DB4">
              <w:rPr>
                <w:rFonts w:ascii="Arial" w:eastAsia="Times New Roman" w:hAnsi="Arial" w:cs="Arial"/>
                <w:sz w:val="18"/>
                <w:szCs w:val="18"/>
              </w:rPr>
              <w:t>.0</w:t>
            </w:r>
            <w:r>
              <w:rPr>
                <w:rFonts w:ascii="Arial" w:eastAsia="Times New Roman" w:hAnsi="Arial" w:cs="Arial"/>
                <w:sz w:val="18"/>
                <w:szCs w:val="18"/>
              </w:rPr>
              <w:t xml:space="preserve"> (</w:t>
            </w:r>
            <w:r w:rsidRPr="00073DB4">
              <w:rPr>
                <w:rFonts w:ascii="Arial" w:eastAsia="Times New Roman" w:hAnsi="Arial" w:cs="Arial"/>
                <w:sz w:val="18"/>
                <w:szCs w:val="18"/>
              </w:rPr>
              <w:t>2.5</w:t>
            </w:r>
            <w:r>
              <w:rPr>
                <w:rFonts w:ascii="Arial" w:eastAsia="Times New Roman" w:hAnsi="Arial" w:cs="Arial"/>
                <w:sz w:val="18"/>
                <w:szCs w:val="18"/>
              </w:rPr>
              <w:t>)</w:t>
            </w:r>
          </w:p>
        </w:tc>
        <w:tc>
          <w:tcPr>
            <w:tcW w:w="907" w:type="pct"/>
            <w:tcBorders>
              <w:top w:val="nil"/>
              <w:left w:val="nil"/>
              <w:bottom w:val="nil"/>
              <w:right w:val="nil"/>
            </w:tcBorders>
            <w:shd w:val="clear" w:color="auto" w:fill="auto"/>
            <w:noWrap/>
            <w:vAlign w:val="center"/>
            <w:hideMark/>
          </w:tcPr>
          <w:p w14:paraId="230EA9E2" w14:textId="77777777" w:rsidR="00B1567A" w:rsidRPr="00073DB4" w:rsidRDefault="00B1567A" w:rsidP="00B1567A">
            <w:pPr>
              <w:spacing w:after="0" w:line="240" w:lineRule="auto"/>
              <w:jc w:val="center"/>
              <w:rPr>
                <w:rFonts w:ascii="Arial" w:eastAsia="Times New Roman" w:hAnsi="Arial" w:cs="Arial"/>
                <w:sz w:val="18"/>
                <w:szCs w:val="18"/>
              </w:rPr>
            </w:pPr>
            <w:r>
              <w:rPr>
                <w:rFonts w:ascii="Arial" w:eastAsia="Times New Roman" w:hAnsi="Arial" w:cs="Arial"/>
                <w:sz w:val="18"/>
                <w:szCs w:val="18"/>
              </w:rPr>
              <w:t>0</w:t>
            </w:r>
            <w:r w:rsidRPr="00073DB4">
              <w:rPr>
                <w:rFonts w:ascii="Arial" w:eastAsia="Times New Roman" w:hAnsi="Arial" w:cs="Arial"/>
                <w:sz w:val="18"/>
                <w:szCs w:val="18"/>
              </w:rPr>
              <w:t>.0</w:t>
            </w:r>
            <w:r>
              <w:rPr>
                <w:rFonts w:ascii="Arial" w:eastAsia="Times New Roman" w:hAnsi="Arial" w:cs="Arial"/>
                <w:sz w:val="18"/>
                <w:szCs w:val="18"/>
              </w:rPr>
              <w:t xml:space="preserve"> (</w:t>
            </w:r>
            <w:r w:rsidRPr="00073DB4">
              <w:rPr>
                <w:rFonts w:ascii="Arial" w:eastAsia="Times New Roman" w:hAnsi="Arial" w:cs="Arial"/>
                <w:sz w:val="18"/>
                <w:szCs w:val="18"/>
              </w:rPr>
              <w:t>5.1</w:t>
            </w:r>
            <w:r>
              <w:rPr>
                <w:rFonts w:ascii="Arial" w:eastAsia="Times New Roman" w:hAnsi="Arial" w:cs="Arial"/>
                <w:sz w:val="18"/>
                <w:szCs w:val="18"/>
              </w:rPr>
              <w:t>)</w:t>
            </w:r>
          </w:p>
        </w:tc>
        <w:tc>
          <w:tcPr>
            <w:tcW w:w="847" w:type="pct"/>
            <w:tcBorders>
              <w:top w:val="nil"/>
              <w:left w:val="nil"/>
              <w:bottom w:val="nil"/>
              <w:right w:val="nil"/>
            </w:tcBorders>
            <w:shd w:val="clear" w:color="auto" w:fill="auto"/>
            <w:noWrap/>
            <w:vAlign w:val="center"/>
            <w:hideMark/>
          </w:tcPr>
          <w:p w14:paraId="049817A0" w14:textId="77777777" w:rsidR="00B1567A" w:rsidRPr="00073DB4" w:rsidRDefault="00B1567A" w:rsidP="00B1567A">
            <w:pPr>
              <w:spacing w:after="0" w:line="240" w:lineRule="auto"/>
              <w:jc w:val="center"/>
              <w:rPr>
                <w:rFonts w:ascii="Arial" w:eastAsia="Times New Roman" w:hAnsi="Arial" w:cs="Arial"/>
                <w:sz w:val="18"/>
                <w:szCs w:val="18"/>
              </w:rPr>
            </w:pPr>
            <w:r>
              <w:rPr>
                <w:rFonts w:ascii="Arial" w:eastAsia="Times New Roman" w:hAnsi="Arial" w:cs="Arial"/>
                <w:sz w:val="18"/>
                <w:szCs w:val="18"/>
              </w:rPr>
              <w:t>0</w:t>
            </w:r>
            <w:r w:rsidRPr="00073DB4">
              <w:rPr>
                <w:rFonts w:ascii="Arial" w:eastAsia="Times New Roman" w:hAnsi="Arial" w:cs="Arial"/>
                <w:sz w:val="18"/>
                <w:szCs w:val="18"/>
              </w:rPr>
              <w:t>.0</w:t>
            </w:r>
            <w:r>
              <w:rPr>
                <w:rFonts w:ascii="Arial" w:eastAsia="Times New Roman" w:hAnsi="Arial" w:cs="Arial"/>
                <w:sz w:val="18"/>
                <w:szCs w:val="18"/>
              </w:rPr>
              <w:t xml:space="preserve"> (</w:t>
            </w:r>
            <w:r w:rsidRPr="00073DB4">
              <w:rPr>
                <w:rFonts w:ascii="Arial" w:eastAsia="Times New Roman" w:hAnsi="Arial" w:cs="Arial"/>
                <w:sz w:val="18"/>
                <w:szCs w:val="18"/>
              </w:rPr>
              <w:t>2.6</w:t>
            </w:r>
            <w:r>
              <w:rPr>
                <w:rFonts w:ascii="Arial" w:eastAsia="Times New Roman" w:hAnsi="Arial" w:cs="Arial"/>
                <w:sz w:val="18"/>
                <w:szCs w:val="18"/>
              </w:rPr>
              <w:t>)</w:t>
            </w:r>
          </w:p>
        </w:tc>
        <w:tc>
          <w:tcPr>
            <w:tcW w:w="904" w:type="pct"/>
            <w:tcBorders>
              <w:top w:val="nil"/>
              <w:left w:val="nil"/>
              <w:bottom w:val="nil"/>
              <w:right w:val="nil"/>
            </w:tcBorders>
            <w:shd w:val="clear" w:color="auto" w:fill="auto"/>
            <w:noWrap/>
            <w:vAlign w:val="center"/>
            <w:hideMark/>
          </w:tcPr>
          <w:p w14:paraId="59CF0467" w14:textId="77777777" w:rsidR="00B1567A" w:rsidRPr="00073DB4" w:rsidRDefault="00B1567A" w:rsidP="00B1567A">
            <w:pPr>
              <w:spacing w:after="0" w:line="240" w:lineRule="auto"/>
              <w:jc w:val="center"/>
              <w:rPr>
                <w:rFonts w:ascii="Arial" w:eastAsia="Times New Roman" w:hAnsi="Arial" w:cs="Arial"/>
                <w:sz w:val="18"/>
                <w:szCs w:val="18"/>
              </w:rPr>
            </w:pPr>
            <w:r w:rsidRPr="00073DB4">
              <w:rPr>
                <w:rFonts w:ascii="Arial" w:eastAsia="Times New Roman" w:hAnsi="Arial" w:cs="Arial"/>
                <w:sz w:val="18"/>
                <w:szCs w:val="18"/>
              </w:rPr>
              <w:t>2.6</w:t>
            </w:r>
            <w:r>
              <w:rPr>
                <w:rFonts w:ascii="Arial" w:eastAsia="Times New Roman" w:hAnsi="Arial" w:cs="Arial"/>
                <w:sz w:val="18"/>
                <w:szCs w:val="18"/>
              </w:rPr>
              <w:t xml:space="preserve"> (</w:t>
            </w:r>
            <w:r w:rsidRPr="00073DB4">
              <w:rPr>
                <w:rFonts w:ascii="Arial" w:eastAsia="Times New Roman" w:hAnsi="Arial" w:cs="Arial"/>
                <w:sz w:val="18"/>
                <w:szCs w:val="18"/>
              </w:rPr>
              <w:t>5.1</w:t>
            </w:r>
            <w:r>
              <w:rPr>
                <w:rFonts w:ascii="Arial" w:eastAsia="Times New Roman" w:hAnsi="Arial" w:cs="Arial"/>
                <w:sz w:val="18"/>
                <w:szCs w:val="18"/>
              </w:rPr>
              <w:t>)</w:t>
            </w:r>
          </w:p>
        </w:tc>
      </w:tr>
      <w:tr w:rsidR="00B1567A" w:rsidRPr="00073DB4" w14:paraId="6295D6B8" w14:textId="77777777" w:rsidTr="00B1567A">
        <w:trPr>
          <w:trHeight w:val="300"/>
        </w:trPr>
        <w:tc>
          <w:tcPr>
            <w:tcW w:w="1495" w:type="pct"/>
            <w:tcBorders>
              <w:top w:val="nil"/>
              <w:left w:val="nil"/>
              <w:bottom w:val="nil"/>
              <w:right w:val="nil"/>
            </w:tcBorders>
            <w:shd w:val="clear" w:color="auto" w:fill="auto"/>
            <w:vAlign w:val="center"/>
            <w:hideMark/>
          </w:tcPr>
          <w:p w14:paraId="003AD5EA" w14:textId="77777777" w:rsidR="00B1567A" w:rsidRPr="00073DB4" w:rsidRDefault="00B1567A" w:rsidP="00073DB4">
            <w:pPr>
              <w:spacing w:after="0" w:line="240" w:lineRule="auto"/>
              <w:jc w:val="center"/>
              <w:rPr>
                <w:rFonts w:ascii="Arial" w:eastAsia="Times New Roman" w:hAnsi="Arial" w:cs="Arial"/>
                <w:sz w:val="18"/>
                <w:szCs w:val="18"/>
              </w:rPr>
            </w:pPr>
            <w:r w:rsidRPr="00073DB4">
              <w:rPr>
                <w:rFonts w:ascii="Arial" w:eastAsia="Times New Roman" w:hAnsi="Arial" w:cs="Arial"/>
                <w:sz w:val="18"/>
                <w:szCs w:val="18"/>
              </w:rPr>
              <w:t>Fish products  (g/day)</w:t>
            </w:r>
          </w:p>
        </w:tc>
        <w:tc>
          <w:tcPr>
            <w:tcW w:w="847" w:type="pct"/>
            <w:tcBorders>
              <w:top w:val="nil"/>
              <w:left w:val="nil"/>
              <w:bottom w:val="nil"/>
              <w:right w:val="nil"/>
            </w:tcBorders>
            <w:shd w:val="clear" w:color="auto" w:fill="auto"/>
            <w:noWrap/>
            <w:vAlign w:val="center"/>
            <w:hideMark/>
          </w:tcPr>
          <w:p w14:paraId="6C2D2B53" w14:textId="77777777" w:rsidR="00B1567A" w:rsidRPr="00073DB4" w:rsidRDefault="00B1567A" w:rsidP="00B1567A">
            <w:pPr>
              <w:spacing w:after="0" w:line="240" w:lineRule="auto"/>
              <w:jc w:val="center"/>
              <w:rPr>
                <w:rFonts w:ascii="Arial" w:eastAsia="Times New Roman" w:hAnsi="Arial" w:cs="Arial"/>
                <w:sz w:val="18"/>
                <w:szCs w:val="18"/>
              </w:rPr>
            </w:pPr>
            <w:r>
              <w:rPr>
                <w:rFonts w:ascii="Arial" w:eastAsia="Times New Roman" w:hAnsi="Arial" w:cs="Arial"/>
                <w:sz w:val="18"/>
                <w:szCs w:val="18"/>
              </w:rPr>
              <w:t>0</w:t>
            </w:r>
            <w:r w:rsidRPr="00073DB4">
              <w:rPr>
                <w:rFonts w:ascii="Arial" w:eastAsia="Times New Roman" w:hAnsi="Arial" w:cs="Arial"/>
                <w:sz w:val="18"/>
                <w:szCs w:val="18"/>
              </w:rPr>
              <w:t>.0</w:t>
            </w:r>
            <w:r>
              <w:rPr>
                <w:rFonts w:ascii="Arial" w:eastAsia="Times New Roman" w:hAnsi="Arial" w:cs="Arial"/>
                <w:sz w:val="18"/>
                <w:szCs w:val="18"/>
              </w:rPr>
              <w:t xml:space="preserve"> (0</w:t>
            </w:r>
            <w:r w:rsidRPr="00073DB4">
              <w:rPr>
                <w:rFonts w:ascii="Arial" w:eastAsia="Times New Roman" w:hAnsi="Arial" w:cs="Arial"/>
                <w:sz w:val="18"/>
                <w:szCs w:val="18"/>
              </w:rPr>
              <w:t>.0</w:t>
            </w:r>
            <w:r>
              <w:rPr>
                <w:rFonts w:ascii="Arial" w:eastAsia="Times New Roman" w:hAnsi="Arial" w:cs="Arial"/>
                <w:sz w:val="18"/>
                <w:szCs w:val="18"/>
              </w:rPr>
              <w:t>)</w:t>
            </w:r>
          </w:p>
        </w:tc>
        <w:tc>
          <w:tcPr>
            <w:tcW w:w="907" w:type="pct"/>
            <w:tcBorders>
              <w:top w:val="nil"/>
              <w:left w:val="nil"/>
              <w:bottom w:val="nil"/>
              <w:right w:val="nil"/>
            </w:tcBorders>
            <w:shd w:val="clear" w:color="auto" w:fill="auto"/>
            <w:noWrap/>
            <w:vAlign w:val="center"/>
            <w:hideMark/>
          </w:tcPr>
          <w:p w14:paraId="1BE40DA3" w14:textId="77777777" w:rsidR="00B1567A" w:rsidRPr="00073DB4" w:rsidRDefault="00B1567A" w:rsidP="00B1567A">
            <w:pPr>
              <w:spacing w:after="0" w:line="240" w:lineRule="auto"/>
              <w:jc w:val="center"/>
              <w:rPr>
                <w:rFonts w:ascii="Arial" w:eastAsia="Times New Roman" w:hAnsi="Arial" w:cs="Arial"/>
                <w:sz w:val="18"/>
                <w:szCs w:val="18"/>
              </w:rPr>
            </w:pPr>
            <w:r>
              <w:rPr>
                <w:rFonts w:ascii="Arial" w:eastAsia="Times New Roman" w:hAnsi="Arial" w:cs="Arial"/>
                <w:sz w:val="18"/>
                <w:szCs w:val="18"/>
              </w:rPr>
              <w:t>0</w:t>
            </w:r>
            <w:r w:rsidRPr="00073DB4">
              <w:rPr>
                <w:rFonts w:ascii="Arial" w:eastAsia="Times New Roman" w:hAnsi="Arial" w:cs="Arial"/>
                <w:sz w:val="18"/>
                <w:szCs w:val="18"/>
              </w:rPr>
              <w:t>.0</w:t>
            </w:r>
            <w:r>
              <w:rPr>
                <w:rFonts w:ascii="Arial" w:eastAsia="Times New Roman" w:hAnsi="Arial" w:cs="Arial"/>
                <w:sz w:val="18"/>
                <w:szCs w:val="18"/>
              </w:rPr>
              <w:t xml:space="preserve"> (</w:t>
            </w:r>
            <w:r w:rsidRPr="00073DB4">
              <w:rPr>
                <w:rFonts w:ascii="Arial" w:eastAsia="Times New Roman" w:hAnsi="Arial" w:cs="Arial"/>
                <w:sz w:val="18"/>
                <w:szCs w:val="18"/>
              </w:rPr>
              <w:t>5.4</w:t>
            </w:r>
            <w:r>
              <w:rPr>
                <w:rFonts w:ascii="Arial" w:eastAsia="Times New Roman" w:hAnsi="Arial" w:cs="Arial"/>
                <w:sz w:val="18"/>
                <w:szCs w:val="18"/>
              </w:rPr>
              <w:t>)</w:t>
            </w:r>
          </w:p>
        </w:tc>
        <w:tc>
          <w:tcPr>
            <w:tcW w:w="847" w:type="pct"/>
            <w:tcBorders>
              <w:top w:val="nil"/>
              <w:left w:val="nil"/>
              <w:bottom w:val="nil"/>
              <w:right w:val="nil"/>
            </w:tcBorders>
            <w:shd w:val="clear" w:color="auto" w:fill="auto"/>
            <w:noWrap/>
            <w:vAlign w:val="center"/>
            <w:hideMark/>
          </w:tcPr>
          <w:p w14:paraId="16EBD918" w14:textId="77777777" w:rsidR="00B1567A" w:rsidRPr="00073DB4" w:rsidRDefault="00B1567A" w:rsidP="00B1567A">
            <w:pPr>
              <w:spacing w:after="0" w:line="240" w:lineRule="auto"/>
              <w:jc w:val="center"/>
              <w:rPr>
                <w:rFonts w:ascii="Arial" w:eastAsia="Times New Roman" w:hAnsi="Arial" w:cs="Arial"/>
                <w:sz w:val="18"/>
                <w:szCs w:val="18"/>
              </w:rPr>
            </w:pPr>
            <w:r>
              <w:rPr>
                <w:rFonts w:ascii="Arial" w:eastAsia="Times New Roman" w:hAnsi="Arial" w:cs="Arial"/>
                <w:sz w:val="18"/>
                <w:szCs w:val="18"/>
              </w:rPr>
              <w:t>0</w:t>
            </w:r>
            <w:r w:rsidRPr="00073DB4">
              <w:rPr>
                <w:rFonts w:ascii="Arial" w:eastAsia="Times New Roman" w:hAnsi="Arial" w:cs="Arial"/>
                <w:sz w:val="18"/>
                <w:szCs w:val="18"/>
              </w:rPr>
              <w:t>.0</w:t>
            </w:r>
            <w:r>
              <w:rPr>
                <w:rFonts w:ascii="Arial" w:eastAsia="Times New Roman" w:hAnsi="Arial" w:cs="Arial"/>
                <w:sz w:val="18"/>
                <w:szCs w:val="18"/>
              </w:rPr>
              <w:t xml:space="preserve"> (</w:t>
            </w:r>
            <w:r w:rsidRPr="00073DB4">
              <w:rPr>
                <w:rFonts w:ascii="Arial" w:eastAsia="Times New Roman" w:hAnsi="Arial" w:cs="Arial"/>
                <w:sz w:val="18"/>
                <w:szCs w:val="18"/>
              </w:rPr>
              <w:t>4.9</w:t>
            </w:r>
            <w:r>
              <w:rPr>
                <w:rFonts w:ascii="Arial" w:eastAsia="Times New Roman" w:hAnsi="Arial" w:cs="Arial"/>
                <w:sz w:val="18"/>
                <w:szCs w:val="18"/>
              </w:rPr>
              <w:t>)</w:t>
            </w:r>
          </w:p>
        </w:tc>
        <w:tc>
          <w:tcPr>
            <w:tcW w:w="904" w:type="pct"/>
            <w:tcBorders>
              <w:top w:val="nil"/>
              <w:left w:val="nil"/>
              <w:bottom w:val="nil"/>
              <w:right w:val="nil"/>
            </w:tcBorders>
            <w:shd w:val="clear" w:color="auto" w:fill="auto"/>
            <w:noWrap/>
            <w:vAlign w:val="center"/>
            <w:hideMark/>
          </w:tcPr>
          <w:p w14:paraId="70F42E01" w14:textId="77777777" w:rsidR="00B1567A" w:rsidRPr="00073DB4" w:rsidRDefault="00B1567A" w:rsidP="00B1567A">
            <w:pPr>
              <w:spacing w:after="0" w:line="240" w:lineRule="auto"/>
              <w:jc w:val="center"/>
              <w:rPr>
                <w:rFonts w:ascii="Arial" w:eastAsia="Times New Roman" w:hAnsi="Arial" w:cs="Arial"/>
                <w:sz w:val="18"/>
                <w:szCs w:val="18"/>
              </w:rPr>
            </w:pPr>
            <w:r w:rsidRPr="00073DB4">
              <w:rPr>
                <w:rFonts w:ascii="Arial" w:eastAsia="Times New Roman" w:hAnsi="Arial" w:cs="Arial"/>
                <w:sz w:val="18"/>
                <w:szCs w:val="18"/>
              </w:rPr>
              <w:t>1.0</w:t>
            </w:r>
            <w:r>
              <w:rPr>
                <w:rFonts w:ascii="Arial" w:eastAsia="Times New Roman" w:hAnsi="Arial" w:cs="Arial"/>
                <w:sz w:val="18"/>
                <w:szCs w:val="18"/>
              </w:rPr>
              <w:t xml:space="preserve"> (</w:t>
            </w:r>
            <w:r w:rsidRPr="00073DB4">
              <w:rPr>
                <w:rFonts w:ascii="Arial" w:eastAsia="Times New Roman" w:hAnsi="Arial" w:cs="Arial"/>
                <w:sz w:val="18"/>
                <w:szCs w:val="18"/>
              </w:rPr>
              <w:t>6.9</w:t>
            </w:r>
            <w:r>
              <w:rPr>
                <w:rFonts w:ascii="Arial" w:eastAsia="Times New Roman" w:hAnsi="Arial" w:cs="Arial"/>
                <w:sz w:val="18"/>
                <w:szCs w:val="18"/>
              </w:rPr>
              <w:t>)</w:t>
            </w:r>
          </w:p>
        </w:tc>
      </w:tr>
      <w:tr w:rsidR="00B1567A" w:rsidRPr="00073DB4" w14:paraId="7B141943" w14:textId="77777777" w:rsidTr="00B1567A">
        <w:trPr>
          <w:trHeight w:val="300"/>
        </w:trPr>
        <w:tc>
          <w:tcPr>
            <w:tcW w:w="1495" w:type="pct"/>
            <w:tcBorders>
              <w:top w:val="nil"/>
              <w:left w:val="nil"/>
              <w:bottom w:val="nil"/>
              <w:right w:val="nil"/>
            </w:tcBorders>
            <w:shd w:val="clear" w:color="auto" w:fill="auto"/>
            <w:vAlign w:val="center"/>
            <w:hideMark/>
          </w:tcPr>
          <w:p w14:paraId="295B4283" w14:textId="77777777" w:rsidR="00B1567A" w:rsidRPr="00073DB4" w:rsidRDefault="00B1567A" w:rsidP="00073DB4">
            <w:pPr>
              <w:spacing w:after="0" w:line="240" w:lineRule="auto"/>
              <w:jc w:val="center"/>
              <w:rPr>
                <w:rFonts w:ascii="Arial" w:eastAsia="Times New Roman" w:hAnsi="Arial" w:cs="Arial"/>
                <w:sz w:val="18"/>
                <w:szCs w:val="18"/>
              </w:rPr>
            </w:pPr>
            <w:r w:rsidRPr="00073DB4">
              <w:rPr>
                <w:rFonts w:ascii="Arial" w:eastAsia="Times New Roman" w:hAnsi="Arial" w:cs="Arial"/>
                <w:sz w:val="18"/>
                <w:szCs w:val="18"/>
              </w:rPr>
              <w:t>Canned fish  (g/day)</w:t>
            </w:r>
          </w:p>
        </w:tc>
        <w:tc>
          <w:tcPr>
            <w:tcW w:w="847" w:type="pct"/>
            <w:tcBorders>
              <w:top w:val="nil"/>
              <w:left w:val="nil"/>
              <w:bottom w:val="nil"/>
              <w:right w:val="nil"/>
            </w:tcBorders>
            <w:shd w:val="clear" w:color="auto" w:fill="auto"/>
            <w:noWrap/>
            <w:vAlign w:val="center"/>
            <w:hideMark/>
          </w:tcPr>
          <w:p w14:paraId="2D13641F" w14:textId="77777777" w:rsidR="00B1567A" w:rsidRPr="00073DB4" w:rsidRDefault="00B1567A" w:rsidP="00B1567A">
            <w:pPr>
              <w:spacing w:after="0" w:line="240" w:lineRule="auto"/>
              <w:jc w:val="center"/>
              <w:rPr>
                <w:rFonts w:ascii="Arial" w:eastAsia="Times New Roman" w:hAnsi="Arial" w:cs="Arial"/>
                <w:sz w:val="18"/>
                <w:szCs w:val="18"/>
              </w:rPr>
            </w:pPr>
            <w:r>
              <w:rPr>
                <w:rFonts w:ascii="Arial" w:eastAsia="Times New Roman" w:hAnsi="Arial" w:cs="Arial"/>
                <w:sz w:val="18"/>
                <w:szCs w:val="18"/>
              </w:rPr>
              <w:t>0</w:t>
            </w:r>
            <w:r w:rsidRPr="00073DB4">
              <w:rPr>
                <w:rFonts w:ascii="Arial" w:eastAsia="Times New Roman" w:hAnsi="Arial" w:cs="Arial"/>
                <w:sz w:val="18"/>
                <w:szCs w:val="18"/>
              </w:rPr>
              <w:t>.0</w:t>
            </w:r>
            <w:r>
              <w:rPr>
                <w:rFonts w:ascii="Arial" w:eastAsia="Times New Roman" w:hAnsi="Arial" w:cs="Arial"/>
                <w:sz w:val="18"/>
                <w:szCs w:val="18"/>
              </w:rPr>
              <w:t xml:space="preserve"> (</w:t>
            </w:r>
            <w:r w:rsidRPr="00073DB4">
              <w:rPr>
                <w:rFonts w:ascii="Arial" w:eastAsia="Times New Roman" w:hAnsi="Arial" w:cs="Arial"/>
                <w:sz w:val="18"/>
                <w:szCs w:val="18"/>
              </w:rPr>
              <w:t>3.2</w:t>
            </w:r>
            <w:r>
              <w:rPr>
                <w:rFonts w:ascii="Arial" w:eastAsia="Times New Roman" w:hAnsi="Arial" w:cs="Arial"/>
                <w:sz w:val="18"/>
                <w:szCs w:val="18"/>
              </w:rPr>
              <w:t>)</w:t>
            </w:r>
          </w:p>
        </w:tc>
        <w:tc>
          <w:tcPr>
            <w:tcW w:w="907" w:type="pct"/>
            <w:tcBorders>
              <w:top w:val="nil"/>
              <w:left w:val="nil"/>
              <w:bottom w:val="nil"/>
              <w:right w:val="nil"/>
            </w:tcBorders>
            <w:shd w:val="clear" w:color="auto" w:fill="auto"/>
            <w:noWrap/>
            <w:vAlign w:val="center"/>
            <w:hideMark/>
          </w:tcPr>
          <w:p w14:paraId="5BF4CC81" w14:textId="77777777" w:rsidR="00B1567A" w:rsidRPr="00073DB4" w:rsidRDefault="00B1567A" w:rsidP="00B1567A">
            <w:pPr>
              <w:spacing w:after="0" w:line="240" w:lineRule="auto"/>
              <w:jc w:val="center"/>
              <w:rPr>
                <w:rFonts w:ascii="Arial" w:eastAsia="Times New Roman" w:hAnsi="Arial" w:cs="Arial"/>
                <w:sz w:val="18"/>
                <w:szCs w:val="18"/>
              </w:rPr>
            </w:pPr>
            <w:r w:rsidRPr="00073DB4">
              <w:rPr>
                <w:rFonts w:ascii="Arial" w:eastAsia="Times New Roman" w:hAnsi="Arial" w:cs="Arial"/>
                <w:sz w:val="18"/>
                <w:szCs w:val="18"/>
              </w:rPr>
              <w:t>3.2</w:t>
            </w:r>
            <w:r>
              <w:rPr>
                <w:rFonts w:ascii="Arial" w:eastAsia="Times New Roman" w:hAnsi="Arial" w:cs="Arial"/>
                <w:sz w:val="18"/>
                <w:szCs w:val="18"/>
              </w:rPr>
              <w:t xml:space="preserve"> (</w:t>
            </w:r>
            <w:r w:rsidRPr="00073DB4">
              <w:rPr>
                <w:rFonts w:ascii="Arial" w:eastAsia="Times New Roman" w:hAnsi="Arial" w:cs="Arial"/>
                <w:sz w:val="18"/>
                <w:szCs w:val="18"/>
              </w:rPr>
              <w:t>6.3</w:t>
            </w:r>
            <w:r>
              <w:rPr>
                <w:rFonts w:ascii="Arial" w:eastAsia="Times New Roman" w:hAnsi="Arial" w:cs="Arial"/>
                <w:sz w:val="18"/>
                <w:szCs w:val="18"/>
              </w:rPr>
              <w:t>)</w:t>
            </w:r>
          </w:p>
        </w:tc>
        <w:tc>
          <w:tcPr>
            <w:tcW w:w="847" w:type="pct"/>
            <w:tcBorders>
              <w:top w:val="nil"/>
              <w:left w:val="nil"/>
              <w:bottom w:val="nil"/>
              <w:right w:val="nil"/>
            </w:tcBorders>
            <w:shd w:val="clear" w:color="auto" w:fill="auto"/>
            <w:noWrap/>
            <w:vAlign w:val="center"/>
            <w:hideMark/>
          </w:tcPr>
          <w:p w14:paraId="5956697F" w14:textId="77777777" w:rsidR="00B1567A" w:rsidRPr="00073DB4" w:rsidRDefault="00B1567A" w:rsidP="00B1567A">
            <w:pPr>
              <w:spacing w:after="0" w:line="240" w:lineRule="auto"/>
              <w:jc w:val="center"/>
              <w:rPr>
                <w:rFonts w:ascii="Arial" w:eastAsia="Times New Roman" w:hAnsi="Arial" w:cs="Arial"/>
                <w:sz w:val="18"/>
                <w:szCs w:val="18"/>
              </w:rPr>
            </w:pPr>
            <w:r w:rsidRPr="00073DB4">
              <w:rPr>
                <w:rFonts w:ascii="Arial" w:eastAsia="Times New Roman" w:hAnsi="Arial" w:cs="Arial"/>
                <w:sz w:val="18"/>
                <w:szCs w:val="18"/>
              </w:rPr>
              <w:t>3.2</w:t>
            </w:r>
            <w:r>
              <w:rPr>
                <w:rFonts w:ascii="Arial" w:eastAsia="Times New Roman" w:hAnsi="Arial" w:cs="Arial"/>
                <w:sz w:val="18"/>
                <w:szCs w:val="18"/>
              </w:rPr>
              <w:t xml:space="preserve"> (</w:t>
            </w:r>
            <w:r w:rsidRPr="00073DB4">
              <w:rPr>
                <w:rFonts w:ascii="Arial" w:eastAsia="Times New Roman" w:hAnsi="Arial" w:cs="Arial"/>
                <w:sz w:val="18"/>
                <w:szCs w:val="18"/>
              </w:rPr>
              <w:t>6.3</w:t>
            </w:r>
            <w:r>
              <w:rPr>
                <w:rFonts w:ascii="Arial" w:eastAsia="Times New Roman" w:hAnsi="Arial" w:cs="Arial"/>
                <w:sz w:val="18"/>
                <w:szCs w:val="18"/>
              </w:rPr>
              <w:t>)</w:t>
            </w:r>
          </w:p>
        </w:tc>
        <w:tc>
          <w:tcPr>
            <w:tcW w:w="904" w:type="pct"/>
            <w:tcBorders>
              <w:top w:val="nil"/>
              <w:left w:val="nil"/>
              <w:bottom w:val="nil"/>
              <w:right w:val="nil"/>
            </w:tcBorders>
            <w:shd w:val="clear" w:color="auto" w:fill="auto"/>
            <w:noWrap/>
            <w:vAlign w:val="center"/>
            <w:hideMark/>
          </w:tcPr>
          <w:p w14:paraId="631A17E8" w14:textId="77777777" w:rsidR="00B1567A" w:rsidRPr="00073DB4" w:rsidRDefault="00B1567A" w:rsidP="00B1567A">
            <w:pPr>
              <w:spacing w:after="0" w:line="240" w:lineRule="auto"/>
              <w:jc w:val="center"/>
              <w:rPr>
                <w:rFonts w:ascii="Arial" w:eastAsia="Times New Roman" w:hAnsi="Arial" w:cs="Arial"/>
                <w:sz w:val="18"/>
                <w:szCs w:val="18"/>
              </w:rPr>
            </w:pPr>
            <w:r w:rsidRPr="00073DB4">
              <w:rPr>
                <w:rFonts w:ascii="Arial" w:eastAsia="Times New Roman" w:hAnsi="Arial" w:cs="Arial"/>
                <w:sz w:val="18"/>
                <w:szCs w:val="18"/>
              </w:rPr>
              <w:t>6.3</w:t>
            </w:r>
            <w:r>
              <w:rPr>
                <w:rFonts w:ascii="Arial" w:eastAsia="Times New Roman" w:hAnsi="Arial" w:cs="Arial"/>
                <w:sz w:val="18"/>
                <w:szCs w:val="18"/>
              </w:rPr>
              <w:t xml:space="preserve"> (</w:t>
            </w:r>
            <w:r w:rsidRPr="00073DB4">
              <w:rPr>
                <w:rFonts w:ascii="Arial" w:eastAsia="Times New Roman" w:hAnsi="Arial" w:cs="Arial"/>
                <w:sz w:val="18"/>
                <w:szCs w:val="18"/>
              </w:rPr>
              <w:t>6.3</w:t>
            </w:r>
            <w:r>
              <w:rPr>
                <w:rFonts w:ascii="Arial" w:eastAsia="Times New Roman" w:hAnsi="Arial" w:cs="Arial"/>
                <w:sz w:val="18"/>
                <w:szCs w:val="18"/>
              </w:rPr>
              <w:t>)</w:t>
            </w:r>
          </w:p>
        </w:tc>
      </w:tr>
      <w:tr w:rsidR="00B1567A" w:rsidRPr="00073DB4" w14:paraId="313E39B0" w14:textId="77777777" w:rsidTr="00B1567A">
        <w:trPr>
          <w:trHeight w:val="300"/>
        </w:trPr>
        <w:tc>
          <w:tcPr>
            <w:tcW w:w="1495" w:type="pct"/>
            <w:tcBorders>
              <w:top w:val="nil"/>
              <w:left w:val="nil"/>
              <w:bottom w:val="single" w:sz="4" w:space="0" w:color="auto"/>
              <w:right w:val="nil"/>
            </w:tcBorders>
            <w:shd w:val="clear" w:color="auto" w:fill="auto"/>
            <w:vAlign w:val="center"/>
            <w:hideMark/>
          </w:tcPr>
          <w:p w14:paraId="4D1A1474" w14:textId="77777777" w:rsidR="00B1567A" w:rsidRPr="00073DB4" w:rsidRDefault="00B1567A" w:rsidP="00073DB4">
            <w:pPr>
              <w:spacing w:after="0" w:line="240" w:lineRule="auto"/>
              <w:jc w:val="center"/>
              <w:rPr>
                <w:rFonts w:ascii="Arial" w:eastAsia="Times New Roman" w:hAnsi="Arial" w:cs="Arial"/>
                <w:b/>
                <w:bCs/>
                <w:sz w:val="18"/>
                <w:szCs w:val="18"/>
              </w:rPr>
            </w:pPr>
            <w:r w:rsidRPr="00073DB4">
              <w:rPr>
                <w:rFonts w:ascii="Arial" w:eastAsia="Times New Roman" w:hAnsi="Arial" w:cs="Arial"/>
                <w:b/>
                <w:bCs/>
                <w:sz w:val="18"/>
                <w:szCs w:val="18"/>
              </w:rPr>
              <w:t>Total fish intake  (g/day)</w:t>
            </w:r>
          </w:p>
        </w:tc>
        <w:tc>
          <w:tcPr>
            <w:tcW w:w="847" w:type="pct"/>
            <w:tcBorders>
              <w:top w:val="nil"/>
              <w:left w:val="nil"/>
              <w:bottom w:val="single" w:sz="4" w:space="0" w:color="auto"/>
              <w:right w:val="nil"/>
            </w:tcBorders>
            <w:shd w:val="clear" w:color="auto" w:fill="auto"/>
            <w:noWrap/>
            <w:vAlign w:val="center"/>
            <w:hideMark/>
          </w:tcPr>
          <w:p w14:paraId="7C8F7C61" w14:textId="77777777" w:rsidR="00B1567A" w:rsidRPr="00073DB4" w:rsidRDefault="00B1567A" w:rsidP="00B1567A">
            <w:pPr>
              <w:spacing w:after="0" w:line="240" w:lineRule="auto"/>
              <w:jc w:val="center"/>
              <w:rPr>
                <w:rFonts w:ascii="Arial" w:eastAsia="Times New Roman" w:hAnsi="Arial" w:cs="Arial"/>
                <w:b/>
                <w:bCs/>
                <w:sz w:val="18"/>
                <w:szCs w:val="18"/>
              </w:rPr>
            </w:pPr>
            <w:r w:rsidRPr="00073DB4">
              <w:rPr>
                <w:rFonts w:ascii="Arial" w:eastAsia="Times New Roman" w:hAnsi="Arial" w:cs="Arial"/>
                <w:b/>
                <w:bCs/>
                <w:sz w:val="18"/>
                <w:szCs w:val="18"/>
              </w:rPr>
              <w:t>25.9</w:t>
            </w:r>
            <w:r>
              <w:rPr>
                <w:rFonts w:ascii="Arial" w:eastAsia="Times New Roman" w:hAnsi="Arial" w:cs="Arial"/>
                <w:b/>
                <w:bCs/>
                <w:sz w:val="18"/>
                <w:szCs w:val="18"/>
              </w:rPr>
              <w:t xml:space="preserve"> (</w:t>
            </w:r>
            <w:r w:rsidRPr="00073DB4">
              <w:rPr>
                <w:rFonts w:ascii="Arial" w:eastAsia="Times New Roman" w:hAnsi="Arial" w:cs="Arial"/>
                <w:b/>
                <w:bCs/>
                <w:sz w:val="18"/>
                <w:szCs w:val="18"/>
              </w:rPr>
              <w:t>11.0</w:t>
            </w:r>
            <w:r>
              <w:rPr>
                <w:rFonts w:ascii="Arial" w:eastAsia="Times New Roman" w:hAnsi="Arial" w:cs="Arial"/>
                <w:b/>
                <w:bCs/>
                <w:sz w:val="18"/>
                <w:szCs w:val="18"/>
              </w:rPr>
              <w:t>)</w:t>
            </w:r>
          </w:p>
        </w:tc>
        <w:tc>
          <w:tcPr>
            <w:tcW w:w="907" w:type="pct"/>
            <w:tcBorders>
              <w:top w:val="nil"/>
              <w:left w:val="nil"/>
              <w:bottom w:val="single" w:sz="4" w:space="0" w:color="auto"/>
              <w:right w:val="nil"/>
            </w:tcBorders>
            <w:shd w:val="clear" w:color="auto" w:fill="auto"/>
            <w:noWrap/>
            <w:vAlign w:val="center"/>
            <w:hideMark/>
          </w:tcPr>
          <w:p w14:paraId="27A39811" w14:textId="77777777" w:rsidR="00B1567A" w:rsidRPr="00073DB4" w:rsidRDefault="00B1567A" w:rsidP="00B1567A">
            <w:pPr>
              <w:spacing w:after="0" w:line="240" w:lineRule="auto"/>
              <w:jc w:val="center"/>
              <w:rPr>
                <w:rFonts w:ascii="Arial" w:eastAsia="Times New Roman" w:hAnsi="Arial" w:cs="Arial"/>
                <w:b/>
                <w:bCs/>
                <w:sz w:val="18"/>
                <w:szCs w:val="18"/>
              </w:rPr>
            </w:pPr>
            <w:r w:rsidRPr="00073DB4">
              <w:rPr>
                <w:rFonts w:ascii="Arial" w:eastAsia="Times New Roman" w:hAnsi="Arial" w:cs="Arial"/>
                <w:b/>
                <w:bCs/>
                <w:sz w:val="18"/>
                <w:szCs w:val="18"/>
              </w:rPr>
              <w:t>67.3</w:t>
            </w:r>
            <w:r>
              <w:rPr>
                <w:rFonts w:ascii="Arial" w:eastAsia="Times New Roman" w:hAnsi="Arial" w:cs="Arial"/>
                <w:b/>
                <w:bCs/>
                <w:sz w:val="18"/>
                <w:szCs w:val="18"/>
              </w:rPr>
              <w:t xml:space="preserve"> (</w:t>
            </w:r>
            <w:r w:rsidRPr="00073DB4">
              <w:rPr>
                <w:rFonts w:ascii="Arial" w:eastAsia="Times New Roman" w:hAnsi="Arial" w:cs="Arial"/>
                <w:b/>
                <w:bCs/>
                <w:sz w:val="18"/>
                <w:szCs w:val="18"/>
              </w:rPr>
              <w:t>27.5</w:t>
            </w:r>
            <w:r>
              <w:rPr>
                <w:rFonts w:ascii="Arial" w:eastAsia="Times New Roman" w:hAnsi="Arial" w:cs="Arial"/>
                <w:b/>
                <w:bCs/>
                <w:sz w:val="18"/>
                <w:szCs w:val="18"/>
              </w:rPr>
              <w:t>)</w:t>
            </w:r>
          </w:p>
        </w:tc>
        <w:tc>
          <w:tcPr>
            <w:tcW w:w="847" w:type="pct"/>
            <w:tcBorders>
              <w:top w:val="nil"/>
              <w:left w:val="nil"/>
              <w:bottom w:val="single" w:sz="4" w:space="0" w:color="auto"/>
              <w:right w:val="nil"/>
            </w:tcBorders>
            <w:shd w:val="clear" w:color="auto" w:fill="auto"/>
            <w:noWrap/>
            <w:vAlign w:val="center"/>
            <w:hideMark/>
          </w:tcPr>
          <w:p w14:paraId="4A0D7D59" w14:textId="77777777" w:rsidR="00B1567A" w:rsidRPr="00073DB4" w:rsidRDefault="00B1567A" w:rsidP="00B1567A">
            <w:pPr>
              <w:spacing w:after="0" w:line="240" w:lineRule="auto"/>
              <w:jc w:val="center"/>
              <w:rPr>
                <w:rFonts w:ascii="Arial" w:eastAsia="Times New Roman" w:hAnsi="Arial" w:cs="Arial"/>
                <w:b/>
                <w:bCs/>
                <w:sz w:val="18"/>
                <w:szCs w:val="18"/>
              </w:rPr>
            </w:pPr>
            <w:r w:rsidRPr="00073DB4">
              <w:rPr>
                <w:rFonts w:ascii="Arial" w:eastAsia="Times New Roman" w:hAnsi="Arial" w:cs="Arial"/>
                <w:b/>
                <w:bCs/>
                <w:sz w:val="18"/>
                <w:szCs w:val="18"/>
              </w:rPr>
              <w:t>48.2</w:t>
            </w:r>
            <w:r>
              <w:rPr>
                <w:rFonts w:ascii="Arial" w:eastAsia="Times New Roman" w:hAnsi="Arial" w:cs="Arial"/>
                <w:b/>
                <w:bCs/>
                <w:sz w:val="18"/>
                <w:szCs w:val="18"/>
              </w:rPr>
              <w:t xml:space="preserve"> (</w:t>
            </w:r>
            <w:r w:rsidRPr="00073DB4">
              <w:rPr>
                <w:rFonts w:ascii="Arial" w:eastAsia="Times New Roman" w:hAnsi="Arial" w:cs="Arial"/>
                <w:b/>
                <w:bCs/>
                <w:sz w:val="18"/>
                <w:szCs w:val="18"/>
              </w:rPr>
              <w:t>15.1</w:t>
            </w:r>
            <w:r>
              <w:rPr>
                <w:rFonts w:ascii="Arial" w:eastAsia="Times New Roman" w:hAnsi="Arial" w:cs="Arial"/>
                <w:b/>
                <w:bCs/>
                <w:sz w:val="18"/>
                <w:szCs w:val="18"/>
              </w:rPr>
              <w:t>)</w:t>
            </w:r>
          </w:p>
        </w:tc>
        <w:tc>
          <w:tcPr>
            <w:tcW w:w="904" w:type="pct"/>
            <w:tcBorders>
              <w:top w:val="nil"/>
              <w:left w:val="nil"/>
              <w:bottom w:val="single" w:sz="4" w:space="0" w:color="auto"/>
              <w:right w:val="nil"/>
            </w:tcBorders>
            <w:shd w:val="clear" w:color="auto" w:fill="auto"/>
            <w:noWrap/>
            <w:vAlign w:val="center"/>
            <w:hideMark/>
          </w:tcPr>
          <w:p w14:paraId="028E8984" w14:textId="77777777" w:rsidR="00B1567A" w:rsidRPr="00073DB4" w:rsidRDefault="00B1567A" w:rsidP="00B1567A">
            <w:pPr>
              <w:spacing w:after="0" w:line="240" w:lineRule="auto"/>
              <w:jc w:val="center"/>
              <w:rPr>
                <w:rFonts w:ascii="Arial" w:eastAsia="Times New Roman" w:hAnsi="Arial" w:cs="Arial"/>
                <w:b/>
                <w:bCs/>
                <w:sz w:val="18"/>
                <w:szCs w:val="18"/>
              </w:rPr>
            </w:pPr>
            <w:r w:rsidRPr="00073DB4">
              <w:rPr>
                <w:rFonts w:ascii="Arial" w:eastAsia="Times New Roman" w:hAnsi="Arial" w:cs="Arial"/>
                <w:b/>
                <w:bCs/>
                <w:sz w:val="18"/>
                <w:szCs w:val="18"/>
              </w:rPr>
              <w:t>86.2</w:t>
            </w:r>
            <w:r>
              <w:rPr>
                <w:rFonts w:ascii="Arial" w:eastAsia="Times New Roman" w:hAnsi="Arial" w:cs="Arial"/>
                <w:b/>
                <w:bCs/>
                <w:sz w:val="18"/>
                <w:szCs w:val="18"/>
              </w:rPr>
              <w:t xml:space="preserve"> (</w:t>
            </w:r>
            <w:r w:rsidRPr="00073DB4">
              <w:rPr>
                <w:rFonts w:ascii="Arial" w:eastAsia="Times New Roman" w:hAnsi="Arial" w:cs="Arial"/>
                <w:b/>
                <w:bCs/>
                <w:sz w:val="18"/>
                <w:szCs w:val="18"/>
              </w:rPr>
              <w:t>32.5</w:t>
            </w:r>
            <w:r>
              <w:rPr>
                <w:rFonts w:ascii="Arial" w:eastAsia="Times New Roman" w:hAnsi="Arial" w:cs="Arial"/>
                <w:b/>
                <w:bCs/>
                <w:sz w:val="18"/>
                <w:szCs w:val="18"/>
              </w:rPr>
              <w:t>)</w:t>
            </w:r>
          </w:p>
        </w:tc>
      </w:tr>
      <w:tr w:rsidR="00B1567A" w:rsidRPr="00073DB4" w14:paraId="5DFD6B5E" w14:textId="77777777" w:rsidTr="00B1567A">
        <w:trPr>
          <w:trHeight w:val="300"/>
        </w:trPr>
        <w:tc>
          <w:tcPr>
            <w:tcW w:w="1495" w:type="pct"/>
            <w:tcBorders>
              <w:top w:val="nil"/>
              <w:left w:val="nil"/>
              <w:bottom w:val="nil"/>
              <w:right w:val="nil"/>
            </w:tcBorders>
            <w:shd w:val="clear" w:color="auto" w:fill="auto"/>
            <w:vAlign w:val="center"/>
            <w:hideMark/>
          </w:tcPr>
          <w:p w14:paraId="3B37D946" w14:textId="77777777" w:rsidR="00B1567A" w:rsidRPr="00073DB4" w:rsidRDefault="00B1567A" w:rsidP="00073DB4">
            <w:pPr>
              <w:spacing w:after="0" w:line="240" w:lineRule="auto"/>
              <w:jc w:val="center"/>
              <w:rPr>
                <w:rFonts w:ascii="Arial" w:eastAsia="Times New Roman" w:hAnsi="Arial" w:cs="Arial"/>
                <w:sz w:val="18"/>
                <w:szCs w:val="18"/>
              </w:rPr>
            </w:pPr>
            <w:r w:rsidRPr="00073DB4">
              <w:rPr>
                <w:rFonts w:ascii="Arial" w:eastAsia="Times New Roman" w:hAnsi="Arial" w:cs="Arial"/>
                <w:sz w:val="18"/>
                <w:szCs w:val="18"/>
              </w:rPr>
              <w:t>Milk  (g/day)</w:t>
            </w:r>
          </w:p>
        </w:tc>
        <w:tc>
          <w:tcPr>
            <w:tcW w:w="847" w:type="pct"/>
            <w:tcBorders>
              <w:top w:val="nil"/>
              <w:left w:val="nil"/>
              <w:bottom w:val="nil"/>
              <w:right w:val="nil"/>
            </w:tcBorders>
            <w:shd w:val="clear" w:color="auto" w:fill="auto"/>
            <w:noWrap/>
            <w:vAlign w:val="center"/>
            <w:hideMark/>
          </w:tcPr>
          <w:p w14:paraId="68973615" w14:textId="77777777" w:rsidR="00B1567A" w:rsidRPr="00073DB4" w:rsidRDefault="00B1567A" w:rsidP="00B1567A">
            <w:pPr>
              <w:spacing w:after="0" w:line="240" w:lineRule="auto"/>
              <w:jc w:val="center"/>
              <w:rPr>
                <w:rFonts w:ascii="Arial" w:eastAsia="Times New Roman" w:hAnsi="Arial" w:cs="Arial"/>
                <w:sz w:val="18"/>
                <w:szCs w:val="18"/>
              </w:rPr>
            </w:pPr>
            <w:r w:rsidRPr="00073DB4">
              <w:rPr>
                <w:rFonts w:ascii="Arial" w:eastAsia="Times New Roman" w:hAnsi="Arial" w:cs="Arial"/>
                <w:sz w:val="18"/>
                <w:szCs w:val="18"/>
              </w:rPr>
              <w:t>51.1</w:t>
            </w:r>
            <w:r>
              <w:rPr>
                <w:rFonts w:ascii="Arial" w:eastAsia="Times New Roman" w:hAnsi="Arial" w:cs="Arial"/>
                <w:sz w:val="18"/>
                <w:szCs w:val="18"/>
              </w:rPr>
              <w:t xml:space="preserve"> (</w:t>
            </w:r>
            <w:r w:rsidRPr="00073DB4">
              <w:rPr>
                <w:rFonts w:ascii="Arial" w:eastAsia="Times New Roman" w:hAnsi="Arial" w:cs="Arial"/>
                <w:sz w:val="18"/>
                <w:szCs w:val="18"/>
              </w:rPr>
              <w:t>83.2</w:t>
            </w:r>
            <w:r>
              <w:rPr>
                <w:rFonts w:ascii="Arial" w:eastAsia="Times New Roman" w:hAnsi="Arial" w:cs="Arial"/>
                <w:sz w:val="18"/>
                <w:szCs w:val="18"/>
              </w:rPr>
              <w:t>)</w:t>
            </w:r>
          </w:p>
        </w:tc>
        <w:tc>
          <w:tcPr>
            <w:tcW w:w="907" w:type="pct"/>
            <w:tcBorders>
              <w:top w:val="nil"/>
              <w:left w:val="nil"/>
              <w:bottom w:val="nil"/>
              <w:right w:val="nil"/>
            </w:tcBorders>
            <w:shd w:val="clear" w:color="auto" w:fill="auto"/>
            <w:noWrap/>
            <w:vAlign w:val="center"/>
            <w:hideMark/>
          </w:tcPr>
          <w:p w14:paraId="0C02B3CD" w14:textId="77777777" w:rsidR="00B1567A" w:rsidRPr="00073DB4" w:rsidRDefault="00B1567A" w:rsidP="00B1567A">
            <w:pPr>
              <w:spacing w:after="0" w:line="240" w:lineRule="auto"/>
              <w:jc w:val="center"/>
              <w:rPr>
                <w:rFonts w:ascii="Arial" w:eastAsia="Times New Roman" w:hAnsi="Arial" w:cs="Arial"/>
                <w:sz w:val="18"/>
                <w:szCs w:val="18"/>
              </w:rPr>
            </w:pPr>
            <w:r>
              <w:rPr>
                <w:rFonts w:ascii="Arial" w:eastAsia="Times New Roman" w:hAnsi="Arial" w:cs="Arial"/>
                <w:sz w:val="18"/>
                <w:szCs w:val="18"/>
              </w:rPr>
              <w:t>0</w:t>
            </w:r>
            <w:r w:rsidRPr="00073DB4">
              <w:rPr>
                <w:rFonts w:ascii="Arial" w:eastAsia="Times New Roman" w:hAnsi="Arial" w:cs="Arial"/>
                <w:sz w:val="18"/>
                <w:szCs w:val="18"/>
              </w:rPr>
              <w:t>.0</w:t>
            </w:r>
            <w:r>
              <w:rPr>
                <w:rFonts w:ascii="Arial" w:eastAsia="Times New Roman" w:hAnsi="Arial" w:cs="Arial"/>
                <w:sz w:val="18"/>
                <w:szCs w:val="18"/>
              </w:rPr>
              <w:t xml:space="preserve"> (0</w:t>
            </w:r>
            <w:r w:rsidRPr="00073DB4">
              <w:rPr>
                <w:rFonts w:ascii="Arial" w:eastAsia="Times New Roman" w:hAnsi="Arial" w:cs="Arial"/>
                <w:sz w:val="18"/>
                <w:szCs w:val="18"/>
              </w:rPr>
              <w:t>.0</w:t>
            </w:r>
            <w:r>
              <w:rPr>
                <w:rFonts w:ascii="Arial" w:eastAsia="Times New Roman" w:hAnsi="Arial" w:cs="Arial"/>
                <w:sz w:val="18"/>
                <w:szCs w:val="18"/>
              </w:rPr>
              <w:t>)</w:t>
            </w:r>
          </w:p>
        </w:tc>
        <w:tc>
          <w:tcPr>
            <w:tcW w:w="847" w:type="pct"/>
            <w:tcBorders>
              <w:top w:val="nil"/>
              <w:left w:val="nil"/>
              <w:bottom w:val="nil"/>
              <w:right w:val="nil"/>
            </w:tcBorders>
            <w:shd w:val="clear" w:color="auto" w:fill="auto"/>
            <w:noWrap/>
            <w:vAlign w:val="center"/>
            <w:hideMark/>
          </w:tcPr>
          <w:p w14:paraId="5EB86FBA" w14:textId="77777777" w:rsidR="00B1567A" w:rsidRPr="00073DB4" w:rsidRDefault="00B1567A" w:rsidP="00B1567A">
            <w:pPr>
              <w:spacing w:after="0" w:line="240" w:lineRule="auto"/>
              <w:jc w:val="center"/>
              <w:rPr>
                <w:rFonts w:ascii="Arial" w:eastAsia="Times New Roman" w:hAnsi="Arial" w:cs="Arial"/>
                <w:sz w:val="18"/>
                <w:szCs w:val="18"/>
              </w:rPr>
            </w:pPr>
            <w:r w:rsidRPr="00073DB4">
              <w:rPr>
                <w:rFonts w:ascii="Arial" w:eastAsia="Times New Roman" w:hAnsi="Arial" w:cs="Arial"/>
                <w:sz w:val="18"/>
                <w:szCs w:val="18"/>
              </w:rPr>
              <w:t>146.0</w:t>
            </w:r>
            <w:r>
              <w:rPr>
                <w:rFonts w:ascii="Arial" w:eastAsia="Times New Roman" w:hAnsi="Arial" w:cs="Arial"/>
                <w:sz w:val="18"/>
                <w:szCs w:val="18"/>
              </w:rPr>
              <w:t xml:space="preserve"> (10</w:t>
            </w:r>
            <w:r w:rsidRPr="00073DB4">
              <w:rPr>
                <w:rFonts w:ascii="Arial" w:eastAsia="Times New Roman" w:hAnsi="Arial" w:cs="Arial"/>
                <w:sz w:val="18"/>
                <w:szCs w:val="18"/>
              </w:rPr>
              <w:t>.0</w:t>
            </w:r>
            <w:r>
              <w:rPr>
                <w:rFonts w:ascii="Arial" w:eastAsia="Times New Roman" w:hAnsi="Arial" w:cs="Arial"/>
                <w:sz w:val="18"/>
                <w:szCs w:val="18"/>
              </w:rPr>
              <w:t>)</w:t>
            </w:r>
          </w:p>
        </w:tc>
        <w:tc>
          <w:tcPr>
            <w:tcW w:w="904" w:type="pct"/>
            <w:tcBorders>
              <w:top w:val="nil"/>
              <w:left w:val="nil"/>
              <w:bottom w:val="nil"/>
              <w:right w:val="nil"/>
            </w:tcBorders>
            <w:shd w:val="clear" w:color="auto" w:fill="auto"/>
            <w:noWrap/>
            <w:vAlign w:val="center"/>
            <w:hideMark/>
          </w:tcPr>
          <w:p w14:paraId="64A30B82" w14:textId="77777777" w:rsidR="00B1567A" w:rsidRPr="00073DB4" w:rsidRDefault="00B1567A" w:rsidP="00B1567A">
            <w:pPr>
              <w:spacing w:after="0" w:line="240" w:lineRule="auto"/>
              <w:jc w:val="center"/>
              <w:rPr>
                <w:rFonts w:ascii="Arial" w:eastAsia="Times New Roman" w:hAnsi="Arial" w:cs="Arial"/>
                <w:sz w:val="18"/>
                <w:szCs w:val="18"/>
              </w:rPr>
            </w:pPr>
            <w:r w:rsidRPr="00073DB4">
              <w:rPr>
                <w:rFonts w:ascii="Arial" w:eastAsia="Times New Roman" w:hAnsi="Arial" w:cs="Arial"/>
                <w:sz w:val="18"/>
                <w:szCs w:val="18"/>
              </w:rPr>
              <w:t>365.0</w:t>
            </w:r>
            <w:r>
              <w:rPr>
                <w:rFonts w:ascii="Arial" w:eastAsia="Times New Roman" w:hAnsi="Arial" w:cs="Arial"/>
                <w:sz w:val="18"/>
                <w:szCs w:val="18"/>
              </w:rPr>
              <w:t xml:space="preserve"> (</w:t>
            </w:r>
            <w:r w:rsidRPr="00073DB4">
              <w:rPr>
                <w:rFonts w:ascii="Arial" w:eastAsia="Times New Roman" w:hAnsi="Arial" w:cs="Arial"/>
                <w:sz w:val="18"/>
                <w:szCs w:val="18"/>
              </w:rPr>
              <w:t>161.3</w:t>
            </w:r>
            <w:r>
              <w:rPr>
                <w:rFonts w:ascii="Arial" w:eastAsia="Times New Roman" w:hAnsi="Arial" w:cs="Arial"/>
                <w:sz w:val="18"/>
                <w:szCs w:val="18"/>
              </w:rPr>
              <w:t>)</w:t>
            </w:r>
          </w:p>
        </w:tc>
      </w:tr>
      <w:tr w:rsidR="00B1567A" w:rsidRPr="00073DB4" w14:paraId="6CE87E04" w14:textId="77777777" w:rsidTr="00B1567A">
        <w:trPr>
          <w:trHeight w:val="300"/>
        </w:trPr>
        <w:tc>
          <w:tcPr>
            <w:tcW w:w="1495" w:type="pct"/>
            <w:tcBorders>
              <w:top w:val="nil"/>
              <w:left w:val="nil"/>
              <w:bottom w:val="nil"/>
              <w:right w:val="nil"/>
            </w:tcBorders>
            <w:shd w:val="clear" w:color="auto" w:fill="auto"/>
            <w:vAlign w:val="center"/>
            <w:hideMark/>
          </w:tcPr>
          <w:p w14:paraId="5E0CD9A0" w14:textId="77777777" w:rsidR="00B1567A" w:rsidRPr="00073DB4" w:rsidRDefault="00B1567A" w:rsidP="00073DB4">
            <w:pPr>
              <w:spacing w:after="0" w:line="240" w:lineRule="auto"/>
              <w:jc w:val="center"/>
              <w:rPr>
                <w:rFonts w:ascii="Arial" w:eastAsia="Times New Roman" w:hAnsi="Arial" w:cs="Arial"/>
                <w:sz w:val="18"/>
                <w:szCs w:val="18"/>
              </w:rPr>
            </w:pPr>
            <w:r w:rsidRPr="00073DB4">
              <w:rPr>
                <w:rFonts w:ascii="Arial" w:eastAsia="Times New Roman" w:hAnsi="Arial" w:cs="Arial"/>
                <w:sz w:val="18"/>
                <w:szCs w:val="18"/>
              </w:rPr>
              <w:t>Other dairy  (g/day)</w:t>
            </w:r>
          </w:p>
        </w:tc>
        <w:tc>
          <w:tcPr>
            <w:tcW w:w="847" w:type="pct"/>
            <w:tcBorders>
              <w:top w:val="nil"/>
              <w:left w:val="nil"/>
              <w:bottom w:val="nil"/>
              <w:right w:val="nil"/>
            </w:tcBorders>
            <w:shd w:val="clear" w:color="auto" w:fill="auto"/>
            <w:noWrap/>
            <w:vAlign w:val="center"/>
            <w:hideMark/>
          </w:tcPr>
          <w:p w14:paraId="2E05BF38" w14:textId="77777777" w:rsidR="00B1567A" w:rsidRPr="00073DB4" w:rsidRDefault="00B1567A" w:rsidP="00B1567A">
            <w:pPr>
              <w:spacing w:after="0" w:line="240" w:lineRule="auto"/>
              <w:jc w:val="center"/>
              <w:rPr>
                <w:rFonts w:ascii="Arial" w:eastAsia="Times New Roman" w:hAnsi="Arial" w:cs="Arial"/>
                <w:sz w:val="18"/>
                <w:szCs w:val="18"/>
              </w:rPr>
            </w:pPr>
            <w:r w:rsidRPr="00073DB4">
              <w:rPr>
                <w:rFonts w:ascii="Arial" w:eastAsia="Times New Roman" w:hAnsi="Arial" w:cs="Arial"/>
                <w:sz w:val="18"/>
                <w:szCs w:val="18"/>
              </w:rPr>
              <w:t>8.8</w:t>
            </w:r>
            <w:r>
              <w:rPr>
                <w:rFonts w:ascii="Arial" w:eastAsia="Times New Roman" w:hAnsi="Arial" w:cs="Arial"/>
                <w:sz w:val="18"/>
                <w:szCs w:val="18"/>
              </w:rPr>
              <w:t xml:space="preserve"> (</w:t>
            </w:r>
            <w:r w:rsidRPr="00073DB4">
              <w:rPr>
                <w:rFonts w:ascii="Arial" w:eastAsia="Times New Roman" w:hAnsi="Arial" w:cs="Arial"/>
                <w:sz w:val="18"/>
                <w:szCs w:val="18"/>
              </w:rPr>
              <w:t>17.5</w:t>
            </w:r>
            <w:r>
              <w:rPr>
                <w:rFonts w:ascii="Arial" w:eastAsia="Times New Roman" w:hAnsi="Arial" w:cs="Arial"/>
                <w:sz w:val="18"/>
                <w:szCs w:val="18"/>
              </w:rPr>
              <w:t>)</w:t>
            </w:r>
          </w:p>
        </w:tc>
        <w:tc>
          <w:tcPr>
            <w:tcW w:w="907" w:type="pct"/>
            <w:tcBorders>
              <w:top w:val="nil"/>
              <w:left w:val="nil"/>
              <w:bottom w:val="nil"/>
              <w:right w:val="nil"/>
            </w:tcBorders>
            <w:shd w:val="clear" w:color="auto" w:fill="auto"/>
            <w:noWrap/>
            <w:vAlign w:val="center"/>
            <w:hideMark/>
          </w:tcPr>
          <w:p w14:paraId="2D8596FE" w14:textId="77777777" w:rsidR="00B1567A" w:rsidRPr="00073DB4" w:rsidRDefault="00B1567A" w:rsidP="00B1567A">
            <w:pPr>
              <w:spacing w:after="0" w:line="240" w:lineRule="auto"/>
              <w:jc w:val="center"/>
              <w:rPr>
                <w:rFonts w:ascii="Arial" w:eastAsia="Times New Roman" w:hAnsi="Arial" w:cs="Arial"/>
                <w:sz w:val="18"/>
                <w:szCs w:val="18"/>
              </w:rPr>
            </w:pPr>
            <w:r w:rsidRPr="00073DB4">
              <w:rPr>
                <w:rFonts w:ascii="Arial" w:eastAsia="Times New Roman" w:hAnsi="Arial" w:cs="Arial"/>
                <w:sz w:val="18"/>
                <w:szCs w:val="18"/>
              </w:rPr>
              <w:t>72.7</w:t>
            </w:r>
            <w:r>
              <w:rPr>
                <w:rFonts w:ascii="Arial" w:eastAsia="Times New Roman" w:hAnsi="Arial" w:cs="Arial"/>
                <w:sz w:val="18"/>
                <w:szCs w:val="18"/>
              </w:rPr>
              <w:t xml:space="preserve"> (</w:t>
            </w:r>
            <w:r w:rsidRPr="00073DB4">
              <w:rPr>
                <w:rFonts w:ascii="Arial" w:eastAsia="Times New Roman" w:hAnsi="Arial" w:cs="Arial"/>
                <w:sz w:val="18"/>
                <w:szCs w:val="18"/>
              </w:rPr>
              <w:t>137.9</w:t>
            </w:r>
            <w:r>
              <w:rPr>
                <w:rFonts w:ascii="Arial" w:eastAsia="Times New Roman" w:hAnsi="Arial" w:cs="Arial"/>
                <w:sz w:val="18"/>
                <w:szCs w:val="18"/>
              </w:rPr>
              <w:t>)</w:t>
            </w:r>
          </w:p>
        </w:tc>
        <w:tc>
          <w:tcPr>
            <w:tcW w:w="847" w:type="pct"/>
            <w:tcBorders>
              <w:top w:val="nil"/>
              <w:left w:val="nil"/>
              <w:bottom w:val="nil"/>
              <w:right w:val="nil"/>
            </w:tcBorders>
            <w:shd w:val="clear" w:color="auto" w:fill="auto"/>
            <w:noWrap/>
            <w:vAlign w:val="center"/>
            <w:hideMark/>
          </w:tcPr>
          <w:p w14:paraId="78FE6B55" w14:textId="77777777" w:rsidR="00B1567A" w:rsidRPr="00073DB4" w:rsidRDefault="00B1567A" w:rsidP="00B1567A">
            <w:pPr>
              <w:spacing w:after="0" w:line="240" w:lineRule="auto"/>
              <w:jc w:val="center"/>
              <w:rPr>
                <w:rFonts w:ascii="Arial" w:eastAsia="Times New Roman" w:hAnsi="Arial" w:cs="Arial"/>
                <w:sz w:val="18"/>
                <w:szCs w:val="18"/>
              </w:rPr>
            </w:pPr>
            <w:r w:rsidRPr="00073DB4">
              <w:rPr>
                <w:rFonts w:ascii="Arial" w:eastAsia="Times New Roman" w:hAnsi="Arial" w:cs="Arial"/>
                <w:sz w:val="18"/>
                <w:szCs w:val="18"/>
              </w:rPr>
              <w:t>104.6</w:t>
            </w:r>
            <w:r>
              <w:rPr>
                <w:rFonts w:ascii="Arial" w:eastAsia="Times New Roman" w:hAnsi="Arial" w:cs="Arial"/>
                <w:sz w:val="18"/>
                <w:szCs w:val="18"/>
              </w:rPr>
              <w:t xml:space="preserve"> (</w:t>
            </w:r>
            <w:r w:rsidRPr="00073DB4">
              <w:rPr>
                <w:rFonts w:ascii="Arial" w:eastAsia="Times New Roman" w:hAnsi="Arial" w:cs="Arial"/>
                <w:sz w:val="18"/>
                <w:szCs w:val="18"/>
              </w:rPr>
              <w:t>60.3</w:t>
            </w:r>
            <w:r>
              <w:rPr>
                <w:rFonts w:ascii="Arial" w:eastAsia="Times New Roman" w:hAnsi="Arial" w:cs="Arial"/>
                <w:sz w:val="18"/>
                <w:szCs w:val="18"/>
              </w:rPr>
              <w:t>)</w:t>
            </w:r>
          </w:p>
        </w:tc>
        <w:tc>
          <w:tcPr>
            <w:tcW w:w="904" w:type="pct"/>
            <w:tcBorders>
              <w:top w:val="nil"/>
              <w:left w:val="nil"/>
              <w:bottom w:val="nil"/>
              <w:right w:val="nil"/>
            </w:tcBorders>
            <w:shd w:val="clear" w:color="auto" w:fill="auto"/>
            <w:noWrap/>
            <w:vAlign w:val="center"/>
            <w:hideMark/>
          </w:tcPr>
          <w:p w14:paraId="53688CA5" w14:textId="77777777" w:rsidR="00B1567A" w:rsidRPr="00073DB4" w:rsidRDefault="00B1567A" w:rsidP="00B1567A">
            <w:pPr>
              <w:spacing w:after="0" w:line="240" w:lineRule="auto"/>
              <w:jc w:val="center"/>
              <w:rPr>
                <w:rFonts w:ascii="Arial" w:eastAsia="Times New Roman" w:hAnsi="Arial" w:cs="Arial"/>
                <w:sz w:val="18"/>
                <w:szCs w:val="18"/>
              </w:rPr>
            </w:pPr>
            <w:r w:rsidRPr="00073DB4">
              <w:rPr>
                <w:rFonts w:ascii="Arial" w:eastAsia="Times New Roman" w:hAnsi="Arial" w:cs="Arial"/>
                <w:sz w:val="18"/>
                <w:szCs w:val="18"/>
              </w:rPr>
              <w:t>96.6</w:t>
            </w:r>
            <w:r>
              <w:rPr>
                <w:rFonts w:ascii="Arial" w:eastAsia="Times New Roman" w:hAnsi="Arial" w:cs="Arial"/>
                <w:sz w:val="18"/>
                <w:szCs w:val="18"/>
              </w:rPr>
              <w:t xml:space="preserve"> (</w:t>
            </w:r>
            <w:r w:rsidRPr="00073DB4">
              <w:rPr>
                <w:rFonts w:ascii="Arial" w:eastAsia="Times New Roman" w:hAnsi="Arial" w:cs="Arial"/>
                <w:sz w:val="18"/>
                <w:szCs w:val="18"/>
              </w:rPr>
              <w:t>58.4</w:t>
            </w:r>
            <w:r>
              <w:rPr>
                <w:rFonts w:ascii="Arial" w:eastAsia="Times New Roman" w:hAnsi="Arial" w:cs="Arial"/>
                <w:sz w:val="18"/>
                <w:szCs w:val="18"/>
              </w:rPr>
              <w:t>)</w:t>
            </w:r>
          </w:p>
        </w:tc>
      </w:tr>
      <w:tr w:rsidR="00B1567A" w:rsidRPr="00073DB4" w14:paraId="75A72720" w14:textId="77777777" w:rsidTr="00B1567A">
        <w:trPr>
          <w:trHeight w:val="300"/>
        </w:trPr>
        <w:tc>
          <w:tcPr>
            <w:tcW w:w="1495" w:type="pct"/>
            <w:tcBorders>
              <w:top w:val="nil"/>
              <w:left w:val="nil"/>
              <w:bottom w:val="single" w:sz="4" w:space="0" w:color="auto"/>
              <w:right w:val="nil"/>
            </w:tcBorders>
            <w:shd w:val="clear" w:color="auto" w:fill="auto"/>
            <w:vAlign w:val="center"/>
            <w:hideMark/>
          </w:tcPr>
          <w:p w14:paraId="2E3744C2" w14:textId="77777777" w:rsidR="00B1567A" w:rsidRPr="00073DB4" w:rsidRDefault="00B1567A" w:rsidP="00073DB4">
            <w:pPr>
              <w:spacing w:after="0" w:line="240" w:lineRule="auto"/>
              <w:jc w:val="center"/>
              <w:rPr>
                <w:rFonts w:ascii="Arial" w:eastAsia="Times New Roman" w:hAnsi="Arial" w:cs="Arial"/>
                <w:b/>
                <w:bCs/>
                <w:sz w:val="18"/>
                <w:szCs w:val="18"/>
              </w:rPr>
            </w:pPr>
            <w:r w:rsidRPr="00073DB4">
              <w:rPr>
                <w:rFonts w:ascii="Arial" w:eastAsia="Times New Roman" w:hAnsi="Arial" w:cs="Arial"/>
                <w:b/>
                <w:bCs/>
                <w:sz w:val="18"/>
                <w:szCs w:val="18"/>
              </w:rPr>
              <w:t>Total dairy  (g/day)</w:t>
            </w:r>
          </w:p>
        </w:tc>
        <w:tc>
          <w:tcPr>
            <w:tcW w:w="847" w:type="pct"/>
            <w:tcBorders>
              <w:top w:val="nil"/>
              <w:left w:val="nil"/>
              <w:bottom w:val="single" w:sz="4" w:space="0" w:color="auto"/>
              <w:right w:val="nil"/>
            </w:tcBorders>
            <w:shd w:val="clear" w:color="auto" w:fill="auto"/>
            <w:noWrap/>
            <w:vAlign w:val="center"/>
            <w:hideMark/>
          </w:tcPr>
          <w:p w14:paraId="19559022" w14:textId="77777777" w:rsidR="00B1567A" w:rsidRPr="00073DB4" w:rsidRDefault="00B1567A" w:rsidP="00B1567A">
            <w:pPr>
              <w:spacing w:after="0" w:line="240" w:lineRule="auto"/>
              <w:jc w:val="center"/>
              <w:rPr>
                <w:rFonts w:ascii="Arial" w:eastAsia="Times New Roman" w:hAnsi="Arial" w:cs="Arial"/>
                <w:b/>
                <w:bCs/>
                <w:sz w:val="18"/>
                <w:szCs w:val="18"/>
              </w:rPr>
            </w:pPr>
            <w:r w:rsidRPr="00073DB4">
              <w:rPr>
                <w:rFonts w:ascii="Arial" w:eastAsia="Times New Roman" w:hAnsi="Arial" w:cs="Arial"/>
                <w:b/>
                <w:bCs/>
                <w:sz w:val="18"/>
                <w:szCs w:val="18"/>
              </w:rPr>
              <w:t>107.2</w:t>
            </w:r>
            <w:r>
              <w:rPr>
                <w:rFonts w:ascii="Arial" w:eastAsia="Times New Roman" w:hAnsi="Arial" w:cs="Arial"/>
                <w:b/>
                <w:bCs/>
                <w:sz w:val="18"/>
                <w:szCs w:val="18"/>
              </w:rPr>
              <w:t xml:space="preserve"> (</w:t>
            </w:r>
            <w:r w:rsidRPr="00073DB4">
              <w:rPr>
                <w:rFonts w:ascii="Arial" w:eastAsia="Times New Roman" w:hAnsi="Arial" w:cs="Arial"/>
                <w:b/>
                <w:bCs/>
                <w:sz w:val="18"/>
                <w:szCs w:val="18"/>
              </w:rPr>
              <w:t>86.3</w:t>
            </w:r>
            <w:r>
              <w:rPr>
                <w:rFonts w:ascii="Arial" w:eastAsia="Times New Roman" w:hAnsi="Arial" w:cs="Arial"/>
                <w:b/>
                <w:bCs/>
                <w:sz w:val="18"/>
                <w:szCs w:val="18"/>
              </w:rPr>
              <w:t>)</w:t>
            </w:r>
          </w:p>
        </w:tc>
        <w:tc>
          <w:tcPr>
            <w:tcW w:w="907" w:type="pct"/>
            <w:tcBorders>
              <w:top w:val="nil"/>
              <w:left w:val="nil"/>
              <w:bottom w:val="single" w:sz="4" w:space="0" w:color="auto"/>
              <w:right w:val="nil"/>
            </w:tcBorders>
            <w:shd w:val="clear" w:color="auto" w:fill="auto"/>
            <w:noWrap/>
            <w:vAlign w:val="center"/>
            <w:hideMark/>
          </w:tcPr>
          <w:p w14:paraId="02873109" w14:textId="77777777" w:rsidR="00B1567A" w:rsidRPr="00073DB4" w:rsidRDefault="00B1567A" w:rsidP="00B1567A">
            <w:pPr>
              <w:spacing w:after="0" w:line="240" w:lineRule="auto"/>
              <w:jc w:val="center"/>
              <w:rPr>
                <w:rFonts w:ascii="Arial" w:eastAsia="Times New Roman" w:hAnsi="Arial" w:cs="Arial"/>
                <w:b/>
                <w:bCs/>
                <w:sz w:val="18"/>
                <w:szCs w:val="18"/>
              </w:rPr>
            </w:pPr>
            <w:r w:rsidRPr="00073DB4">
              <w:rPr>
                <w:rFonts w:ascii="Arial" w:eastAsia="Times New Roman" w:hAnsi="Arial" w:cs="Arial"/>
                <w:b/>
                <w:bCs/>
                <w:sz w:val="18"/>
                <w:szCs w:val="18"/>
              </w:rPr>
              <w:t>72.7</w:t>
            </w:r>
            <w:r>
              <w:rPr>
                <w:rFonts w:ascii="Arial" w:eastAsia="Times New Roman" w:hAnsi="Arial" w:cs="Arial"/>
                <w:b/>
                <w:bCs/>
                <w:sz w:val="18"/>
                <w:szCs w:val="18"/>
              </w:rPr>
              <w:t xml:space="preserve"> (</w:t>
            </w:r>
            <w:r w:rsidRPr="00073DB4">
              <w:rPr>
                <w:rFonts w:ascii="Arial" w:eastAsia="Times New Roman" w:hAnsi="Arial" w:cs="Arial"/>
                <w:b/>
                <w:bCs/>
                <w:sz w:val="18"/>
                <w:szCs w:val="18"/>
              </w:rPr>
              <w:t>137.9</w:t>
            </w:r>
            <w:r>
              <w:rPr>
                <w:rFonts w:ascii="Arial" w:eastAsia="Times New Roman" w:hAnsi="Arial" w:cs="Arial"/>
                <w:b/>
                <w:bCs/>
                <w:sz w:val="18"/>
                <w:szCs w:val="18"/>
              </w:rPr>
              <w:t>)</w:t>
            </w:r>
          </w:p>
        </w:tc>
        <w:tc>
          <w:tcPr>
            <w:tcW w:w="847" w:type="pct"/>
            <w:tcBorders>
              <w:top w:val="nil"/>
              <w:left w:val="nil"/>
              <w:bottom w:val="single" w:sz="4" w:space="0" w:color="auto"/>
              <w:right w:val="nil"/>
            </w:tcBorders>
            <w:shd w:val="clear" w:color="auto" w:fill="auto"/>
            <w:noWrap/>
            <w:vAlign w:val="center"/>
            <w:hideMark/>
          </w:tcPr>
          <w:p w14:paraId="1770E117" w14:textId="77777777" w:rsidR="00B1567A" w:rsidRPr="00073DB4" w:rsidRDefault="00B1567A" w:rsidP="00B1567A">
            <w:pPr>
              <w:spacing w:after="0" w:line="240" w:lineRule="auto"/>
              <w:jc w:val="center"/>
              <w:rPr>
                <w:rFonts w:ascii="Arial" w:eastAsia="Times New Roman" w:hAnsi="Arial" w:cs="Arial"/>
                <w:b/>
                <w:bCs/>
                <w:sz w:val="18"/>
                <w:szCs w:val="18"/>
              </w:rPr>
            </w:pPr>
            <w:r w:rsidRPr="00073DB4">
              <w:rPr>
                <w:rFonts w:ascii="Arial" w:eastAsia="Times New Roman" w:hAnsi="Arial" w:cs="Arial"/>
                <w:b/>
                <w:bCs/>
                <w:sz w:val="18"/>
                <w:szCs w:val="18"/>
              </w:rPr>
              <w:t>250.3</w:t>
            </w:r>
            <w:r>
              <w:rPr>
                <w:rFonts w:ascii="Arial" w:eastAsia="Times New Roman" w:hAnsi="Arial" w:cs="Arial"/>
                <w:b/>
                <w:bCs/>
                <w:sz w:val="18"/>
                <w:szCs w:val="18"/>
              </w:rPr>
              <w:t xml:space="preserve"> (</w:t>
            </w:r>
            <w:r w:rsidRPr="00073DB4">
              <w:rPr>
                <w:rFonts w:ascii="Arial" w:eastAsia="Times New Roman" w:hAnsi="Arial" w:cs="Arial"/>
                <w:b/>
                <w:bCs/>
                <w:sz w:val="18"/>
                <w:szCs w:val="18"/>
              </w:rPr>
              <w:t>57.9</w:t>
            </w:r>
            <w:r>
              <w:rPr>
                <w:rFonts w:ascii="Arial" w:eastAsia="Times New Roman" w:hAnsi="Arial" w:cs="Arial"/>
                <w:b/>
                <w:bCs/>
                <w:sz w:val="18"/>
                <w:szCs w:val="18"/>
              </w:rPr>
              <w:t>)</w:t>
            </w:r>
          </w:p>
        </w:tc>
        <w:tc>
          <w:tcPr>
            <w:tcW w:w="904" w:type="pct"/>
            <w:tcBorders>
              <w:top w:val="nil"/>
              <w:left w:val="nil"/>
              <w:bottom w:val="single" w:sz="4" w:space="0" w:color="auto"/>
              <w:right w:val="nil"/>
            </w:tcBorders>
            <w:shd w:val="clear" w:color="auto" w:fill="auto"/>
            <w:noWrap/>
            <w:vAlign w:val="center"/>
            <w:hideMark/>
          </w:tcPr>
          <w:p w14:paraId="6077F963" w14:textId="77777777" w:rsidR="00B1567A" w:rsidRPr="00073DB4" w:rsidRDefault="00B1567A" w:rsidP="00B1567A">
            <w:pPr>
              <w:spacing w:after="0" w:line="240" w:lineRule="auto"/>
              <w:jc w:val="center"/>
              <w:rPr>
                <w:rFonts w:ascii="Arial" w:eastAsia="Times New Roman" w:hAnsi="Arial" w:cs="Arial"/>
                <w:b/>
                <w:bCs/>
                <w:sz w:val="18"/>
                <w:szCs w:val="18"/>
              </w:rPr>
            </w:pPr>
            <w:r w:rsidRPr="00073DB4">
              <w:rPr>
                <w:rFonts w:ascii="Arial" w:eastAsia="Times New Roman" w:hAnsi="Arial" w:cs="Arial"/>
                <w:b/>
                <w:bCs/>
                <w:sz w:val="18"/>
                <w:szCs w:val="18"/>
              </w:rPr>
              <w:t>489.4</w:t>
            </w:r>
            <w:r>
              <w:rPr>
                <w:rFonts w:ascii="Arial" w:eastAsia="Times New Roman" w:hAnsi="Arial" w:cs="Arial"/>
                <w:b/>
                <w:bCs/>
                <w:sz w:val="18"/>
                <w:szCs w:val="18"/>
              </w:rPr>
              <w:t xml:space="preserve"> (</w:t>
            </w:r>
            <w:r w:rsidRPr="00073DB4">
              <w:rPr>
                <w:rFonts w:ascii="Arial" w:eastAsia="Times New Roman" w:hAnsi="Arial" w:cs="Arial"/>
                <w:b/>
                <w:bCs/>
                <w:sz w:val="18"/>
                <w:szCs w:val="18"/>
              </w:rPr>
              <w:t>146.0</w:t>
            </w:r>
            <w:r>
              <w:rPr>
                <w:rFonts w:ascii="Arial" w:eastAsia="Times New Roman" w:hAnsi="Arial" w:cs="Arial"/>
                <w:b/>
                <w:bCs/>
                <w:sz w:val="18"/>
                <w:szCs w:val="18"/>
              </w:rPr>
              <w:t>)</w:t>
            </w:r>
          </w:p>
        </w:tc>
      </w:tr>
    </w:tbl>
    <w:p w14:paraId="2894E080" w14:textId="77777777" w:rsidR="00073DB4" w:rsidRPr="0077489C" w:rsidRDefault="00073DB4" w:rsidP="00073DB4">
      <w:pPr>
        <w:rPr>
          <w:sz w:val="18"/>
        </w:rPr>
      </w:pPr>
      <w:r w:rsidRPr="0077489C">
        <w:rPr>
          <w:sz w:val="18"/>
        </w:rPr>
        <w:t>Iodine</w:t>
      </w:r>
      <w:r>
        <w:rPr>
          <w:sz w:val="18"/>
        </w:rPr>
        <w:t>-rich food intake</w:t>
      </w:r>
      <w:r w:rsidRPr="0077489C">
        <w:rPr>
          <w:sz w:val="18"/>
        </w:rPr>
        <w:t xml:space="preserve"> was not normally distributed. </w:t>
      </w:r>
      <w:r w:rsidR="00B1567A">
        <w:rPr>
          <w:sz w:val="18"/>
        </w:rPr>
        <w:t xml:space="preserve">Therefore, the values given are Median (IQR). </w:t>
      </w:r>
      <w:r w:rsidRPr="0077489C">
        <w:rPr>
          <w:sz w:val="18"/>
        </w:rPr>
        <w:t>Comparison of intake between group</w:t>
      </w:r>
      <w:r w:rsidR="0069028B">
        <w:rPr>
          <w:sz w:val="18"/>
        </w:rPr>
        <w:t>s</w:t>
      </w:r>
      <w:r w:rsidR="001734D0">
        <w:rPr>
          <w:sz w:val="18"/>
        </w:rPr>
        <w:t xml:space="preserve">, </w:t>
      </w:r>
      <w:r w:rsidR="00B1567A">
        <w:rPr>
          <w:sz w:val="18"/>
        </w:rPr>
        <w:t>done</w:t>
      </w:r>
      <w:r w:rsidRPr="0077489C">
        <w:rPr>
          <w:sz w:val="18"/>
        </w:rPr>
        <w:t xml:space="preserve"> with the </w:t>
      </w:r>
      <w:proofErr w:type="spellStart"/>
      <w:r w:rsidRPr="0077489C">
        <w:rPr>
          <w:sz w:val="18"/>
        </w:rPr>
        <w:t>Kruskall</w:t>
      </w:r>
      <w:proofErr w:type="spellEnd"/>
      <w:r w:rsidRPr="0077489C">
        <w:rPr>
          <w:sz w:val="18"/>
        </w:rPr>
        <w:t xml:space="preserve"> Wallis</w:t>
      </w:r>
      <w:r w:rsidR="001734D0">
        <w:rPr>
          <w:sz w:val="18"/>
        </w:rPr>
        <w:t xml:space="preserve"> and Mood’s Median</w:t>
      </w:r>
      <w:r w:rsidRPr="0077489C">
        <w:rPr>
          <w:sz w:val="18"/>
        </w:rPr>
        <w:t xml:space="preserve"> test</w:t>
      </w:r>
      <w:r w:rsidR="001734D0">
        <w:rPr>
          <w:sz w:val="18"/>
        </w:rPr>
        <w:t xml:space="preserve">s showed significant differences for all parameters </w:t>
      </w:r>
      <w:r w:rsidRPr="0077489C">
        <w:rPr>
          <w:sz w:val="18"/>
        </w:rPr>
        <w:t>(p&lt;0.001</w:t>
      </w:r>
      <w:r w:rsidR="007B7717">
        <w:rPr>
          <w:sz w:val="18"/>
        </w:rPr>
        <w:t>)</w:t>
      </w:r>
      <w:r w:rsidR="00AD4E52">
        <w:rPr>
          <w:sz w:val="18"/>
        </w:rPr>
        <w:t xml:space="preserve"> between groups</w:t>
      </w:r>
      <w:r w:rsidRPr="0077489C">
        <w:rPr>
          <w:sz w:val="18"/>
        </w:rPr>
        <w:t>.</w:t>
      </w:r>
    </w:p>
    <w:p w14:paraId="72755B4C" w14:textId="77777777" w:rsidR="0069028B" w:rsidRDefault="0069028B" w:rsidP="006718F6">
      <w:pPr>
        <w:spacing w:before="120" w:after="120" w:line="360" w:lineRule="auto"/>
      </w:pPr>
    </w:p>
    <w:p w14:paraId="518C323B" w14:textId="5C0D72DD" w:rsidR="00A84401" w:rsidRPr="00B23F8C" w:rsidRDefault="00B17535" w:rsidP="00A84401">
      <w:pPr>
        <w:spacing w:before="120" w:after="120" w:line="360" w:lineRule="auto"/>
        <w:jc w:val="both"/>
      </w:pPr>
      <w:r>
        <w:t>On this subsample, i</w:t>
      </w:r>
      <w:r w:rsidR="001C624B" w:rsidRPr="00B23F8C">
        <w:t xml:space="preserve">ntake of iodine containing nutritional supplements was reported by </w:t>
      </w:r>
      <w:r w:rsidR="001C624B">
        <w:t>10</w:t>
      </w:r>
      <w:r w:rsidR="001C624B" w:rsidRPr="00B23F8C">
        <w:t xml:space="preserve"> participants</w:t>
      </w:r>
      <w:r w:rsidR="001C624B">
        <w:t xml:space="preserve"> (n=4 in group A, n=2 in group B, n=2 in group C and n=2 in group D)</w:t>
      </w:r>
      <w:r w:rsidR="001C624B" w:rsidRPr="00B23F8C">
        <w:t xml:space="preserve">. </w:t>
      </w:r>
      <w:r w:rsidR="002F1E12">
        <w:t xml:space="preserve">In general, </w:t>
      </w:r>
      <w:r w:rsidR="00B23F8C">
        <w:t xml:space="preserve">reported </w:t>
      </w:r>
      <w:r w:rsidR="002F1E12">
        <w:t>i</w:t>
      </w:r>
      <w:r w:rsidR="00073DB4">
        <w:t xml:space="preserve">odine intake was sufficient (median </w:t>
      </w:r>
      <w:r w:rsidR="001C624B">
        <w:t>193</w:t>
      </w:r>
      <w:r w:rsidR="00073DB4">
        <w:t xml:space="preserve"> </w:t>
      </w:r>
      <w:r w:rsidR="00CC4148">
        <w:t>µ</w:t>
      </w:r>
      <w:r w:rsidR="00073DB4">
        <w:t>g/day</w:t>
      </w:r>
      <w:r w:rsidR="00C87D31">
        <w:t>)</w:t>
      </w:r>
      <w:r w:rsidR="00073DB4">
        <w:t>, IQR 10</w:t>
      </w:r>
      <w:r w:rsidR="001C624B">
        <w:t>9</w:t>
      </w:r>
      <w:r w:rsidR="0056644D">
        <w:t>.3</w:t>
      </w:r>
      <w:r w:rsidR="0033086B" w:rsidRPr="0033086B">
        <w:t xml:space="preserve">, </w:t>
      </w:r>
      <w:r w:rsidR="0033086B" w:rsidRPr="001C624B">
        <w:t>as per the</w:t>
      </w:r>
      <w:r w:rsidR="0033086B" w:rsidRPr="0033086B">
        <w:t xml:space="preserve"> UKs recommended diary iodine intake</w:t>
      </w:r>
      <w:r w:rsidR="0033086B">
        <w:fldChar w:fldCharType="begin"/>
      </w:r>
      <w:r w:rsidR="001544FE">
        <w:instrText xml:space="preserve"> ADDIN REFMGR.CITE &lt;Refman&gt;&lt;Cite&gt;&lt;Year&gt;1991&lt;/Year&gt;&lt;RecNum&gt;21644&lt;/RecNum&gt;&lt;IDText&gt;Dietary reference values for food energy and nutrients for the United Kingdom. Report of the Panel on Dietary Reference Values of the Committee on Medical Aspects of Food Policy&lt;/IDText&gt;&lt;MDL Ref_Type="Journal"&gt;&lt;Ref_Type&gt;Journal&lt;/Ref_Type&gt;&lt;Ref_ID&gt;21644&lt;/Ref_ID&gt;&lt;Title_Primary&gt;&lt;f name="Times New Roman"&gt;Dietary reference values for food energy and nutrients for the United Kingdom. Report of the Panel on Dietary Reference Values of the Committee on Medical Aspects of Food Policy&lt;/f&gt;&lt;/Title_Primary&gt;&lt;Date_Primary&gt;1991&lt;/Date_Primary&gt;&lt;Keywords&gt;dietary&lt;/Keywords&gt;&lt;Keywords&gt;Reference Values&lt;/Keywords&gt;&lt;Keywords&gt;Food&lt;/Keywords&gt;&lt;Keywords&gt;and&lt;/Keywords&gt;&lt;Keywords&gt;United Kingdom&lt;/Keywords&gt;&lt;Keywords&gt;of&lt;/Keywords&gt;&lt;Reprint&gt;Not in File&lt;/Reprint&gt;&lt;Start_Page&gt;1&lt;/Start_Page&gt;&lt;End_Page&gt;210&lt;/End_Page&gt;&lt;Periodical&gt;Rep Health Soc Subj (Lond)&lt;/Periodical&gt;&lt;Volume&gt;41&lt;/Volume&gt;&lt;ZZ_JournalFull&gt;&lt;f name="System"&gt;Rep Health Soc Subj (Lond)&lt;/f&gt;&lt;/ZZ_JournalFull&gt;&lt;ZZ_WorkformID&gt;1&lt;/ZZ_WorkformID&gt;&lt;/MDL&gt;&lt;/Cite&gt;&lt;/Refman&gt;</w:instrText>
      </w:r>
      <w:r w:rsidR="0033086B">
        <w:fldChar w:fldCharType="separate"/>
      </w:r>
      <w:r w:rsidR="00547674">
        <w:rPr>
          <w:noProof/>
        </w:rPr>
        <w:t>(20)</w:t>
      </w:r>
      <w:r w:rsidR="0033086B">
        <w:fldChar w:fldCharType="end"/>
      </w:r>
      <w:r w:rsidR="0033086B" w:rsidRPr="0033086B">
        <w:t xml:space="preserve"> of 140µg/day</w:t>
      </w:r>
      <w:r w:rsidR="00C87D31">
        <w:t>, ranging from 6</w:t>
      </w:r>
      <w:r w:rsidR="001C624B">
        <w:t>1.6</w:t>
      </w:r>
      <w:r w:rsidR="00C87D31">
        <w:t xml:space="preserve"> </w:t>
      </w:r>
      <w:r w:rsidR="001C624B">
        <w:t>µ</w:t>
      </w:r>
      <w:r w:rsidR="00C87D31">
        <w:t xml:space="preserve">g to </w:t>
      </w:r>
      <w:r w:rsidR="0056644D">
        <w:t>524.4</w:t>
      </w:r>
      <w:r w:rsidR="00C87D31">
        <w:t xml:space="preserve"> µg per day</w:t>
      </w:r>
      <w:r w:rsidR="00073DB4">
        <w:t xml:space="preserve">.  A </w:t>
      </w:r>
      <w:r w:rsidR="001C624B">
        <w:t>quarter</w:t>
      </w:r>
      <w:r w:rsidR="00073DB4">
        <w:t xml:space="preserve"> (</w:t>
      </w:r>
      <w:r w:rsidR="001C624B">
        <w:t>n=47</w:t>
      </w:r>
      <w:r w:rsidR="00265393">
        <w:t xml:space="preserve">, </w:t>
      </w:r>
      <w:r w:rsidR="001C624B">
        <w:t>24</w:t>
      </w:r>
      <w:r w:rsidR="00073DB4">
        <w:t>.</w:t>
      </w:r>
      <w:r w:rsidR="001C624B">
        <w:t>9</w:t>
      </w:r>
      <w:r w:rsidR="00073DB4">
        <w:t xml:space="preserve">%) had an iodine intake below the reference nutrient intake for iodine (140 </w:t>
      </w:r>
      <w:r w:rsidR="00CC4148">
        <w:t>µ</w:t>
      </w:r>
      <w:r w:rsidR="00073DB4">
        <w:t xml:space="preserve">g/day). </w:t>
      </w:r>
      <w:r w:rsidR="00B02058">
        <w:t xml:space="preserve">The </w:t>
      </w:r>
      <w:r w:rsidR="00A81282">
        <w:t xml:space="preserve">median (IQR) </w:t>
      </w:r>
      <w:r w:rsidR="0056644D">
        <w:t xml:space="preserve">total </w:t>
      </w:r>
      <w:r w:rsidR="00B02058">
        <w:lastRenderedPageBreak/>
        <w:t xml:space="preserve">iodine intake </w:t>
      </w:r>
      <w:r w:rsidR="00CC4148">
        <w:t>µ</w:t>
      </w:r>
      <w:r w:rsidR="00A81282" w:rsidRPr="00A81282">
        <w:rPr>
          <w:bCs/>
        </w:rPr>
        <w:t>g/day</w:t>
      </w:r>
      <w:r w:rsidR="00A81282">
        <w:t xml:space="preserve"> was 1</w:t>
      </w:r>
      <w:r w:rsidR="00C87D31">
        <w:t>20</w:t>
      </w:r>
      <w:r w:rsidR="00A81282">
        <w:t>.0</w:t>
      </w:r>
      <w:r w:rsidR="00CC4148">
        <w:t xml:space="preserve"> µ</w:t>
      </w:r>
      <w:r w:rsidR="00CC4148" w:rsidRPr="00A81282">
        <w:rPr>
          <w:bCs/>
        </w:rPr>
        <w:t>g/day</w:t>
      </w:r>
      <w:r w:rsidR="00C87D31">
        <w:t xml:space="preserve"> (5</w:t>
      </w:r>
      <w:r w:rsidR="0056644D">
        <w:t>9</w:t>
      </w:r>
      <w:r w:rsidR="00C87D31">
        <w:t>.</w:t>
      </w:r>
      <w:r w:rsidR="0056644D">
        <w:t>7</w:t>
      </w:r>
      <w:r w:rsidR="00A81282">
        <w:t>)</w:t>
      </w:r>
      <w:r w:rsidR="00A81282" w:rsidRPr="00A81282">
        <w:rPr>
          <w:rFonts w:ascii="Calibri" w:eastAsia="Times New Roman" w:hAnsi="Calibri" w:cs="Times New Roman"/>
          <w:b/>
          <w:bCs/>
          <w:color w:val="000000"/>
        </w:rPr>
        <w:t xml:space="preserve"> </w:t>
      </w:r>
      <w:r w:rsidR="007B7717" w:rsidRPr="007B7717">
        <w:rPr>
          <w:rFonts w:ascii="Calibri" w:eastAsia="Times New Roman" w:hAnsi="Calibri" w:cs="Times New Roman"/>
          <w:bCs/>
          <w:color w:val="000000"/>
        </w:rPr>
        <w:t xml:space="preserve">for </w:t>
      </w:r>
      <w:r w:rsidR="00A81282">
        <w:rPr>
          <w:bCs/>
        </w:rPr>
        <w:t>Group A, 169.</w:t>
      </w:r>
      <w:r w:rsidR="00CC4148">
        <w:rPr>
          <w:bCs/>
        </w:rPr>
        <w:t xml:space="preserve">8 </w:t>
      </w:r>
      <w:r w:rsidR="00CC4148">
        <w:t>µ</w:t>
      </w:r>
      <w:r w:rsidR="00CC4148" w:rsidRPr="00A81282">
        <w:rPr>
          <w:bCs/>
        </w:rPr>
        <w:t>g/day</w:t>
      </w:r>
      <w:r w:rsidR="00CC4148">
        <w:t xml:space="preserve"> </w:t>
      </w:r>
      <w:r w:rsidR="0056644D">
        <w:rPr>
          <w:bCs/>
        </w:rPr>
        <w:t>(56</w:t>
      </w:r>
      <w:r w:rsidR="00A81282">
        <w:rPr>
          <w:bCs/>
        </w:rPr>
        <w:t xml:space="preserve">) </w:t>
      </w:r>
      <w:r w:rsidR="007B7717">
        <w:rPr>
          <w:bCs/>
        </w:rPr>
        <w:t xml:space="preserve">for </w:t>
      </w:r>
      <w:r w:rsidR="00A81282">
        <w:rPr>
          <w:bCs/>
        </w:rPr>
        <w:t>Group B</w:t>
      </w:r>
      <w:r w:rsidR="007B7717">
        <w:rPr>
          <w:bCs/>
        </w:rPr>
        <w:t>, 20</w:t>
      </w:r>
      <w:r w:rsidR="0056644D">
        <w:rPr>
          <w:bCs/>
        </w:rPr>
        <w:t>7</w:t>
      </w:r>
      <w:r w:rsidR="007B7717">
        <w:rPr>
          <w:bCs/>
        </w:rPr>
        <w:t>.</w:t>
      </w:r>
      <w:r w:rsidR="0056644D">
        <w:rPr>
          <w:bCs/>
        </w:rPr>
        <w:t>4</w:t>
      </w:r>
      <w:r w:rsidR="00CC4148">
        <w:rPr>
          <w:bCs/>
        </w:rPr>
        <w:t xml:space="preserve"> </w:t>
      </w:r>
      <w:r w:rsidR="00CC4148">
        <w:t>µ</w:t>
      </w:r>
      <w:r w:rsidR="00CC4148" w:rsidRPr="00A81282">
        <w:rPr>
          <w:bCs/>
        </w:rPr>
        <w:t>g/day</w:t>
      </w:r>
      <w:r w:rsidR="007B7717">
        <w:rPr>
          <w:bCs/>
        </w:rPr>
        <w:t xml:space="preserve"> (</w:t>
      </w:r>
      <w:r w:rsidR="0056644D">
        <w:rPr>
          <w:bCs/>
        </w:rPr>
        <w:t>63</w:t>
      </w:r>
      <w:r w:rsidR="007B7717">
        <w:rPr>
          <w:bCs/>
        </w:rPr>
        <w:t>.</w:t>
      </w:r>
      <w:r w:rsidR="0056644D">
        <w:rPr>
          <w:bCs/>
        </w:rPr>
        <w:t>9</w:t>
      </w:r>
      <w:r w:rsidR="007B7717">
        <w:rPr>
          <w:bCs/>
        </w:rPr>
        <w:t>) for Group C and 3</w:t>
      </w:r>
      <w:r w:rsidR="0056644D">
        <w:rPr>
          <w:bCs/>
        </w:rPr>
        <w:t>52</w:t>
      </w:r>
      <w:r w:rsidR="007B7717">
        <w:rPr>
          <w:bCs/>
        </w:rPr>
        <w:t>.</w:t>
      </w:r>
      <w:r w:rsidR="0056644D">
        <w:rPr>
          <w:bCs/>
        </w:rPr>
        <w:t>7</w:t>
      </w:r>
      <w:r w:rsidR="00CC4148">
        <w:rPr>
          <w:bCs/>
        </w:rPr>
        <w:t xml:space="preserve"> </w:t>
      </w:r>
      <w:r w:rsidR="00CC4148">
        <w:t>µ</w:t>
      </w:r>
      <w:r w:rsidR="00CC4148" w:rsidRPr="00A81282">
        <w:rPr>
          <w:bCs/>
        </w:rPr>
        <w:t>g/day</w:t>
      </w:r>
      <w:r w:rsidR="00CC4148">
        <w:t xml:space="preserve"> </w:t>
      </w:r>
      <w:r w:rsidR="007B7717">
        <w:rPr>
          <w:bCs/>
        </w:rPr>
        <w:t>(12</w:t>
      </w:r>
      <w:r w:rsidR="0056644D">
        <w:rPr>
          <w:bCs/>
        </w:rPr>
        <w:t>8</w:t>
      </w:r>
      <w:r w:rsidR="007B7717">
        <w:rPr>
          <w:bCs/>
        </w:rPr>
        <w:t>.</w:t>
      </w:r>
      <w:r w:rsidR="0056644D">
        <w:rPr>
          <w:bCs/>
        </w:rPr>
        <w:t>3</w:t>
      </w:r>
      <w:r w:rsidR="007B7717">
        <w:rPr>
          <w:bCs/>
        </w:rPr>
        <w:t>) for Group D.</w:t>
      </w:r>
      <w:r w:rsidR="007B7717">
        <w:t xml:space="preserve"> </w:t>
      </w:r>
    </w:p>
    <w:p w14:paraId="1B3C79C8" w14:textId="1BAFCA08" w:rsidR="00B02058" w:rsidRDefault="00B02058" w:rsidP="009B7EFC">
      <w:pPr>
        <w:spacing w:before="120" w:after="120" w:line="360" w:lineRule="auto"/>
        <w:jc w:val="both"/>
      </w:pPr>
    </w:p>
    <w:p w14:paraId="7A18BB34" w14:textId="77777777" w:rsidR="00EA42FC" w:rsidRDefault="00EA42FC" w:rsidP="006718F6">
      <w:pPr>
        <w:spacing w:before="120" w:after="120" w:line="360" w:lineRule="auto"/>
      </w:pPr>
    </w:p>
    <w:p w14:paraId="21D2BA05" w14:textId="1675B2A4" w:rsidR="009770C0" w:rsidRPr="009770C0" w:rsidRDefault="00117E7B" w:rsidP="006718F6">
      <w:pPr>
        <w:spacing w:before="120" w:after="120" w:line="360" w:lineRule="auto"/>
        <w:rPr>
          <w:b/>
        </w:rPr>
      </w:pPr>
      <w:r>
        <w:rPr>
          <w:b/>
        </w:rPr>
        <w:t xml:space="preserve">3.1.3 </w:t>
      </w:r>
      <w:r w:rsidR="002D0152" w:rsidRPr="002D0152">
        <w:rPr>
          <w:b/>
        </w:rPr>
        <w:t>Thyroid function</w:t>
      </w:r>
    </w:p>
    <w:p w14:paraId="2C371CAC" w14:textId="61075752" w:rsidR="00BB3304" w:rsidRDefault="00BB3304" w:rsidP="009B7EFC">
      <w:pPr>
        <w:spacing w:before="120" w:after="120" w:line="360" w:lineRule="auto"/>
        <w:jc w:val="both"/>
      </w:pPr>
      <w:r>
        <w:t xml:space="preserve">The thyroid function </w:t>
      </w:r>
      <w:r w:rsidR="0086223C">
        <w:t>of</w:t>
      </w:r>
      <w:r>
        <w:t xml:space="preserve"> euthyroid subjects </w:t>
      </w:r>
      <w:r w:rsidR="00170B76">
        <w:t xml:space="preserve">(i.e. </w:t>
      </w:r>
      <w:r w:rsidR="009B07EE">
        <w:t xml:space="preserve">having normal thyroid gland function) </w:t>
      </w:r>
      <w:r>
        <w:t>are reported in</w:t>
      </w:r>
      <w:r w:rsidR="00CB6193">
        <w:fldChar w:fldCharType="begin"/>
      </w:r>
      <w:r w:rsidR="001544FE">
        <w:instrText xml:space="preserve"> ADDIN REFMGR.CITE &lt;Refman&gt;&lt;Cite&gt;&lt;Author&gt;Booth&lt;/Author&gt;&lt;Year&gt;2013&lt;/Year&gt;&lt;RecNum&gt;21592&lt;/RecNum&gt;&lt;IDText&gt;Thyroid stimulating hormone, free thyroxine and cognitive ability in old age: The Lothian birth cohort study 1936&lt;/IDText&gt;&lt;MDL Ref_Type="Journal"&gt;&lt;Ref_Type&gt;Journal&lt;/Ref_Type&gt;&lt;Ref_ID&gt;21592&lt;/Ref_ID&gt;&lt;Title_Primary&gt;&lt;f name="Times New Roman"&gt;Thyroid stimulating hormone, free thyroxine and cognitive ability in old age: The Lothian birth cohort study 1936&lt;/f&gt;&lt;/Title_Primary&gt;&lt;Authors_Primary&gt;Booth,T.&lt;/Authors_Primary&gt;&lt;Authors_Primary&gt;Deary,I.J.&lt;/Authors_Primary&gt;&lt;Authors_Primary&gt;Starr,J.M.&lt;/Authors_Primary&gt;&lt;Date_Primary&gt;2013/4/1&lt;/Date_Primary&gt;&lt;Keywords&gt;and&lt;/Keywords&gt;&lt;Keywords&gt;cognitive abilities&lt;/Keywords&gt;&lt;Keywords&gt;AGE&lt;/Keywords&gt;&lt;Keywords&gt;Cohort Studies&lt;/Keywords&gt;&lt;Keywords&gt;Study&lt;/Keywords&gt;&lt;Reprint&gt;Not in File&lt;/Reprint&gt;&lt;Start_Page&gt;597&lt;/Start_Page&gt;&lt;End_Page&gt;601&lt;/End_Page&gt;&lt;Periodical&gt;Psychoneuroendocrinology&lt;/Periodical&gt;&lt;Volume&gt;38&lt;/Volume&gt;&lt;Issue&gt;4&lt;/Issue&gt;&lt;ZZ_JournalStdAbbrev&gt;&lt;f name="System"&gt;Psychoneuroendocrinology&lt;/f&gt;&lt;/ZZ_JournalStdAbbrev&gt;&lt;ZZ_WorkformID&gt;1&lt;/ZZ_WorkformID&gt;&lt;/MDL&gt;&lt;/Cite&gt;&lt;/Refman&gt;</w:instrText>
      </w:r>
      <w:r w:rsidR="00CB6193">
        <w:fldChar w:fldCharType="separate"/>
      </w:r>
      <w:r w:rsidR="00547674">
        <w:rPr>
          <w:noProof/>
        </w:rPr>
        <w:t>(18)</w:t>
      </w:r>
      <w:r w:rsidR="00CB6193">
        <w:fldChar w:fldCharType="end"/>
      </w:r>
      <w:r w:rsidR="0086223C">
        <w:t>, along with associations with cognition</w:t>
      </w:r>
      <w:r w:rsidRPr="0033086B">
        <w:t>.</w:t>
      </w:r>
      <w:r w:rsidR="00677627" w:rsidRPr="0033086B">
        <w:t xml:space="preserve"> </w:t>
      </w:r>
      <w:r w:rsidR="00006C1A" w:rsidRPr="0033086B">
        <w:t xml:space="preserve">The haematological parameters related to the thyroid function at old age, measured 3 years apart, were strongly and significantly associated </w:t>
      </w:r>
      <w:r w:rsidR="00121873" w:rsidRPr="0033086B">
        <w:t xml:space="preserve">(standardised β = 0.55 (TSH) and 0.51 (free T4), p&lt;0.0001) </w:t>
      </w:r>
      <w:r w:rsidR="00006C1A" w:rsidRPr="0033086B">
        <w:t>indicating high stability of these measure</w:t>
      </w:r>
      <w:r w:rsidR="00121873" w:rsidRPr="0033086B">
        <w:t>s over time</w:t>
      </w:r>
      <w:r w:rsidR="00006C1A" w:rsidRPr="0033086B">
        <w:t>.</w:t>
      </w:r>
      <w:r w:rsidR="00006C1A">
        <w:t xml:space="preserve"> Specifically for the subsample studied, v</w:t>
      </w:r>
      <w:r w:rsidR="00677627">
        <w:t>ery few cases of overt hypothyroidism were reported</w:t>
      </w:r>
      <w:r w:rsidR="00006C1A">
        <w:t>.</w:t>
      </w:r>
      <w:r w:rsidR="00677627">
        <w:t xml:space="preserve"> The distribution of cases of subclinical hypothyroidism did not significantly differ between the four groups. </w:t>
      </w:r>
      <w:r w:rsidR="00EB1BB5">
        <w:t>The median levels of TSH and T4 and distributions did not differ between groups</w:t>
      </w:r>
      <w:r w:rsidR="00AD4E52">
        <w:t xml:space="preserve"> (Table 4)</w:t>
      </w:r>
      <w:r w:rsidR="00EB1BB5">
        <w:t>.</w:t>
      </w:r>
    </w:p>
    <w:p w14:paraId="5953B791" w14:textId="77777777" w:rsidR="009770C0" w:rsidRDefault="009770C0" w:rsidP="006718F6">
      <w:pPr>
        <w:spacing w:before="120" w:after="120" w:line="360" w:lineRule="auto"/>
      </w:pPr>
    </w:p>
    <w:p w14:paraId="7BB621A5" w14:textId="77777777" w:rsidR="008465C0" w:rsidRPr="00DC51D5" w:rsidRDefault="008465C0" w:rsidP="008465C0">
      <w:pPr>
        <w:pStyle w:val="Caption"/>
        <w:keepNext/>
        <w:rPr>
          <w:color w:val="auto"/>
        </w:rPr>
      </w:pPr>
      <w:r w:rsidRPr="00DC51D5">
        <w:rPr>
          <w:color w:val="auto"/>
        </w:rPr>
        <w:t xml:space="preserve">Table </w:t>
      </w:r>
      <w:r w:rsidR="00DC51D5" w:rsidRPr="00DC51D5">
        <w:rPr>
          <w:color w:val="auto"/>
        </w:rPr>
        <w:t>4</w:t>
      </w:r>
      <w:r w:rsidRPr="00DC51D5">
        <w:rPr>
          <w:color w:val="auto"/>
        </w:rPr>
        <w:t>: Thyroid function in the selected subsample</w:t>
      </w:r>
    </w:p>
    <w:tbl>
      <w:tblPr>
        <w:tblW w:w="0" w:type="auto"/>
        <w:tblLook w:val="04A0" w:firstRow="1" w:lastRow="0" w:firstColumn="1" w:lastColumn="0" w:noHBand="0" w:noVBand="1"/>
      </w:tblPr>
      <w:tblGrid>
        <w:gridCol w:w="707"/>
        <w:gridCol w:w="1671"/>
        <w:gridCol w:w="1677"/>
        <w:gridCol w:w="1638"/>
        <w:gridCol w:w="1685"/>
        <w:gridCol w:w="1648"/>
      </w:tblGrid>
      <w:tr w:rsidR="00EB1BB5" w:rsidRPr="00073DB4" w14:paraId="61B32234" w14:textId="77777777" w:rsidTr="00EB1BB5">
        <w:trPr>
          <w:trHeight w:val="300"/>
        </w:trPr>
        <w:tc>
          <w:tcPr>
            <w:tcW w:w="0" w:type="auto"/>
            <w:tcBorders>
              <w:top w:val="single" w:sz="4" w:space="0" w:color="auto"/>
              <w:left w:val="nil"/>
              <w:bottom w:val="single" w:sz="4" w:space="0" w:color="auto"/>
              <w:right w:val="nil"/>
            </w:tcBorders>
          </w:tcPr>
          <w:p w14:paraId="1535AD55" w14:textId="77777777" w:rsidR="0086223C" w:rsidRPr="00073DB4" w:rsidRDefault="0086223C" w:rsidP="00785889">
            <w:pPr>
              <w:spacing w:after="0" w:line="240" w:lineRule="auto"/>
              <w:rPr>
                <w:rFonts w:ascii="Arial" w:eastAsia="Times New Roman" w:hAnsi="Arial" w:cs="Arial"/>
                <w:sz w:val="18"/>
                <w:szCs w:val="18"/>
              </w:rPr>
            </w:pPr>
          </w:p>
        </w:tc>
        <w:tc>
          <w:tcPr>
            <w:tcW w:w="0" w:type="auto"/>
            <w:tcBorders>
              <w:top w:val="single" w:sz="4" w:space="0" w:color="auto"/>
              <w:left w:val="nil"/>
              <w:bottom w:val="single" w:sz="4" w:space="0" w:color="auto"/>
              <w:right w:val="nil"/>
            </w:tcBorders>
            <w:shd w:val="clear" w:color="auto" w:fill="auto"/>
            <w:vAlign w:val="center"/>
            <w:hideMark/>
          </w:tcPr>
          <w:p w14:paraId="4747490E" w14:textId="77777777" w:rsidR="0086223C" w:rsidRPr="00073DB4" w:rsidRDefault="0086223C" w:rsidP="00785889">
            <w:pPr>
              <w:spacing w:after="0" w:line="240" w:lineRule="auto"/>
              <w:rPr>
                <w:rFonts w:ascii="Arial" w:eastAsia="Times New Roman" w:hAnsi="Arial" w:cs="Arial"/>
                <w:sz w:val="18"/>
                <w:szCs w:val="18"/>
              </w:rPr>
            </w:pPr>
            <w:r w:rsidRPr="00073DB4">
              <w:rPr>
                <w:rFonts w:ascii="Arial" w:eastAsia="Times New Roman" w:hAnsi="Arial" w:cs="Arial"/>
                <w:sz w:val="18"/>
                <w:szCs w:val="18"/>
              </w:rPr>
              <w:t> </w:t>
            </w:r>
          </w:p>
        </w:tc>
        <w:tc>
          <w:tcPr>
            <w:tcW w:w="0" w:type="auto"/>
            <w:tcBorders>
              <w:top w:val="single" w:sz="4" w:space="0" w:color="auto"/>
              <w:left w:val="nil"/>
              <w:bottom w:val="single" w:sz="4" w:space="0" w:color="auto"/>
              <w:right w:val="nil"/>
            </w:tcBorders>
            <w:shd w:val="clear" w:color="auto" w:fill="auto"/>
            <w:vAlign w:val="center"/>
            <w:hideMark/>
          </w:tcPr>
          <w:p w14:paraId="14CA7A40" w14:textId="77777777" w:rsidR="00AD4E52" w:rsidRDefault="0086223C" w:rsidP="00785889">
            <w:pPr>
              <w:spacing w:after="0" w:line="240" w:lineRule="auto"/>
              <w:jc w:val="center"/>
              <w:rPr>
                <w:rFonts w:ascii="Arial" w:eastAsia="Times New Roman" w:hAnsi="Arial" w:cs="Arial"/>
                <w:b/>
                <w:bCs/>
                <w:sz w:val="18"/>
                <w:szCs w:val="18"/>
              </w:rPr>
            </w:pPr>
            <w:r w:rsidRPr="00073DB4">
              <w:rPr>
                <w:rFonts w:ascii="Arial" w:eastAsia="Times New Roman" w:hAnsi="Arial" w:cs="Arial"/>
                <w:b/>
                <w:bCs/>
                <w:sz w:val="18"/>
                <w:szCs w:val="18"/>
              </w:rPr>
              <w:t>Group A</w:t>
            </w:r>
            <w:r>
              <w:rPr>
                <w:rFonts w:ascii="Arial" w:eastAsia="Times New Roman" w:hAnsi="Arial" w:cs="Arial"/>
                <w:b/>
                <w:bCs/>
                <w:sz w:val="18"/>
                <w:szCs w:val="18"/>
              </w:rPr>
              <w:t xml:space="preserve"> </w:t>
            </w:r>
          </w:p>
          <w:p w14:paraId="36C0ACC3" w14:textId="77777777" w:rsidR="00AD4E52" w:rsidRDefault="00AD4E52" w:rsidP="00785889">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Low intake of dairy and fish </w:t>
            </w:r>
          </w:p>
          <w:p w14:paraId="18B08192" w14:textId="77777777" w:rsidR="0086223C" w:rsidRPr="00073DB4" w:rsidRDefault="0086223C" w:rsidP="00785889">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(n=63)</w:t>
            </w:r>
          </w:p>
        </w:tc>
        <w:tc>
          <w:tcPr>
            <w:tcW w:w="0" w:type="auto"/>
            <w:tcBorders>
              <w:top w:val="single" w:sz="4" w:space="0" w:color="auto"/>
              <w:left w:val="nil"/>
              <w:bottom w:val="single" w:sz="4" w:space="0" w:color="auto"/>
              <w:right w:val="nil"/>
            </w:tcBorders>
            <w:shd w:val="clear" w:color="auto" w:fill="auto"/>
            <w:vAlign w:val="center"/>
            <w:hideMark/>
          </w:tcPr>
          <w:p w14:paraId="46677184" w14:textId="77777777" w:rsidR="00AD4E52" w:rsidRDefault="0086223C" w:rsidP="00785889">
            <w:pPr>
              <w:spacing w:after="0" w:line="240" w:lineRule="auto"/>
              <w:jc w:val="center"/>
              <w:rPr>
                <w:rFonts w:ascii="Arial" w:eastAsia="Times New Roman" w:hAnsi="Arial" w:cs="Arial"/>
                <w:b/>
                <w:bCs/>
                <w:sz w:val="18"/>
                <w:szCs w:val="18"/>
              </w:rPr>
            </w:pPr>
            <w:r w:rsidRPr="00073DB4">
              <w:rPr>
                <w:rFonts w:ascii="Arial" w:eastAsia="Times New Roman" w:hAnsi="Arial" w:cs="Arial"/>
                <w:b/>
                <w:bCs/>
                <w:sz w:val="18"/>
                <w:szCs w:val="18"/>
              </w:rPr>
              <w:t>Group B</w:t>
            </w:r>
            <w:r>
              <w:rPr>
                <w:rFonts w:ascii="Arial" w:eastAsia="Times New Roman" w:hAnsi="Arial" w:cs="Arial"/>
                <w:b/>
                <w:bCs/>
                <w:sz w:val="18"/>
                <w:szCs w:val="18"/>
              </w:rPr>
              <w:t xml:space="preserve"> </w:t>
            </w:r>
          </w:p>
          <w:p w14:paraId="097AA6A1" w14:textId="77777777" w:rsidR="00AD4E52" w:rsidRDefault="00AD4E52" w:rsidP="00AD4E52">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Dairy avoiders</w:t>
            </w:r>
          </w:p>
          <w:p w14:paraId="41572184" w14:textId="77777777" w:rsidR="0086223C" w:rsidRPr="00073DB4" w:rsidRDefault="00AD4E52" w:rsidP="00AD4E52">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 </w:t>
            </w:r>
            <w:r w:rsidR="0086223C">
              <w:rPr>
                <w:rFonts w:ascii="Arial" w:eastAsia="Times New Roman" w:hAnsi="Arial" w:cs="Arial"/>
                <w:b/>
                <w:bCs/>
                <w:sz w:val="18"/>
                <w:szCs w:val="18"/>
              </w:rPr>
              <w:t>(n=22)</w:t>
            </w:r>
          </w:p>
        </w:tc>
        <w:tc>
          <w:tcPr>
            <w:tcW w:w="0" w:type="auto"/>
            <w:tcBorders>
              <w:top w:val="single" w:sz="4" w:space="0" w:color="auto"/>
              <w:left w:val="nil"/>
              <w:bottom w:val="single" w:sz="4" w:space="0" w:color="auto"/>
              <w:right w:val="nil"/>
            </w:tcBorders>
            <w:shd w:val="clear" w:color="auto" w:fill="auto"/>
            <w:vAlign w:val="center"/>
            <w:hideMark/>
          </w:tcPr>
          <w:p w14:paraId="46AD932E" w14:textId="77777777" w:rsidR="00AD4E52" w:rsidRDefault="0086223C" w:rsidP="00785889">
            <w:pPr>
              <w:spacing w:after="0" w:line="240" w:lineRule="auto"/>
              <w:jc w:val="center"/>
              <w:rPr>
                <w:rFonts w:ascii="Arial" w:eastAsia="Times New Roman" w:hAnsi="Arial" w:cs="Arial"/>
                <w:b/>
                <w:bCs/>
                <w:sz w:val="18"/>
                <w:szCs w:val="18"/>
              </w:rPr>
            </w:pPr>
            <w:r w:rsidRPr="00073DB4">
              <w:rPr>
                <w:rFonts w:ascii="Arial" w:eastAsia="Times New Roman" w:hAnsi="Arial" w:cs="Arial"/>
                <w:b/>
                <w:bCs/>
                <w:sz w:val="18"/>
                <w:szCs w:val="18"/>
              </w:rPr>
              <w:t>Group C</w:t>
            </w:r>
          </w:p>
          <w:p w14:paraId="0BF41778" w14:textId="77777777" w:rsidR="00AD4E52" w:rsidRDefault="00AD4E52" w:rsidP="00AD4E52">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Medium intake of dairy and fish</w:t>
            </w:r>
          </w:p>
          <w:p w14:paraId="2E34FC36" w14:textId="77777777" w:rsidR="0086223C" w:rsidRPr="00073DB4" w:rsidRDefault="0086223C" w:rsidP="00785889">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 (n=76)</w:t>
            </w:r>
          </w:p>
        </w:tc>
        <w:tc>
          <w:tcPr>
            <w:tcW w:w="0" w:type="auto"/>
            <w:tcBorders>
              <w:top w:val="single" w:sz="4" w:space="0" w:color="auto"/>
              <w:left w:val="nil"/>
              <w:bottom w:val="single" w:sz="4" w:space="0" w:color="auto"/>
              <w:right w:val="nil"/>
            </w:tcBorders>
            <w:shd w:val="clear" w:color="auto" w:fill="auto"/>
            <w:vAlign w:val="center"/>
            <w:hideMark/>
          </w:tcPr>
          <w:p w14:paraId="41BC5E23" w14:textId="77777777" w:rsidR="00AD4E52" w:rsidRDefault="0086223C" w:rsidP="00785889">
            <w:pPr>
              <w:spacing w:after="0" w:line="240" w:lineRule="auto"/>
              <w:jc w:val="center"/>
              <w:rPr>
                <w:rFonts w:ascii="Arial" w:eastAsia="Times New Roman" w:hAnsi="Arial" w:cs="Arial"/>
                <w:b/>
                <w:bCs/>
                <w:sz w:val="18"/>
                <w:szCs w:val="18"/>
              </w:rPr>
            </w:pPr>
            <w:r w:rsidRPr="00073DB4">
              <w:rPr>
                <w:rFonts w:ascii="Arial" w:eastAsia="Times New Roman" w:hAnsi="Arial" w:cs="Arial"/>
                <w:b/>
                <w:bCs/>
                <w:sz w:val="18"/>
                <w:szCs w:val="18"/>
              </w:rPr>
              <w:t>Group D</w:t>
            </w:r>
          </w:p>
          <w:p w14:paraId="7274393B" w14:textId="77777777" w:rsidR="00AD4E52" w:rsidRDefault="00AD4E52" w:rsidP="00AD4E52">
            <w:pPr>
              <w:spacing w:after="0" w:line="240" w:lineRule="auto"/>
              <w:rPr>
                <w:rFonts w:ascii="Arial" w:eastAsia="Times New Roman" w:hAnsi="Arial" w:cs="Arial"/>
                <w:b/>
                <w:bCs/>
                <w:sz w:val="18"/>
                <w:szCs w:val="18"/>
              </w:rPr>
            </w:pPr>
            <w:r>
              <w:rPr>
                <w:rFonts w:ascii="Arial" w:eastAsia="Times New Roman" w:hAnsi="Arial" w:cs="Arial"/>
                <w:b/>
                <w:bCs/>
                <w:sz w:val="18"/>
                <w:szCs w:val="18"/>
              </w:rPr>
              <w:t>High intake of dairy and fish</w:t>
            </w:r>
          </w:p>
          <w:p w14:paraId="6FC48870" w14:textId="77777777" w:rsidR="0086223C" w:rsidRPr="00073DB4" w:rsidRDefault="0086223C" w:rsidP="00785889">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 (n=28)</w:t>
            </w:r>
          </w:p>
        </w:tc>
      </w:tr>
      <w:tr w:rsidR="00EB1BB5" w:rsidRPr="00073DB4" w14:paraId="22CDE756" w14:textId="77777777" w:rsidTr="00EB1BB5">
        <w:trPr>
          <w:trHeight w:val="300"/>
        </w:trPr>
        <w:tc>
          <w:tcPr>
            <w:tcW w:w="0" w:type="auto"/>
            <w:tcBorders>
              <w:top w:val="single" w:sz="4" w:space="0" w:color="auto"/>
              <w:left w:val="nil"/>
              <w:bottom w:val="nil"/>
              <w:right w:val="nil"/>
            </w:tcBorders>
            <w:vAlign w:val="center"/>
          </w:tcPr>
          <w:p w14:paraId="303405ED" w14:textId="77777777" w:rsidR="0086223C" w:rsidRPr="00BB3304" w:rsidRDefault="0086223C" w:rsidP="00785889">
            <w:pPr>
              <w:spacing w:after="0" w:line="240" w:lineRule="auto"/>
              <w:jc w:val="center"/>
              <w:rPr>
                <w:rFonts w:ascii="Arial" w:eastAsia="Times New Roman" w:hAnsi="Arial" w:cs="Arial"/>
                <w:b/>
                <w:sz w:val="18"/>
                <w:szCs w:val="18"/>
              </w:rPr>
            </w:pPr>
            <w:r>
              <w:rPr>
                <w:rFonts w:ascii="Arial" w:eastAsia="Times New Roman" w:hAnsi="Arial" w:cs="Arial"/>
                <w:b/>
                <w:sz w:val="18"/>
                <w:szCs w:val="18"/>
              </w:rPr>
              <w:t>Wave 1</w:t>
            </w:r>
          </w:p>
        </w:tc>
        <w:tc>
          <w:tcPr>
            <w:tcW w:w="0" w:type="auto"/>
            <w:tcBorders>
              <w:top w:val="single" w:sz="4" w:space="0" w:color="auto"/>
              <w:left w:val="nil"/>
              <w:bottom w:val="nil"/>
              <w:right w:val="nil"/>
            </w:tcBorders>
            <w:shd w:val="clear" w:color="auto" w:fill="auto"/>
            <w:vAlign w:val="center"/>
            <w:hideMark/>
          </w:tcPr>
          <w:p w14:paraId="56D41130" w14:textId="77777777" w:rsidR="0086223C" w:rsidRPr="00BB3304" w:rsidRDefault="0086223C" w:rsidP="00C21AFE">
            <w:pPr>
              <w:spacing w:after="0" w:line="240" w:lineRule="auto"/>
              <w:jc w:val="center"/>
              <w:rPr>
                <w:rFonts w:ascii="Arial" w:eastAsia="Times New Roman" w:hAnsi="Arial" w:cs="Arial"/>
                <w:b/>
                <w:sz w:val="18"/>
                <w:szCs w:val="18"/>
              </w:rPr>
            </w:pPr>
            <w:r w:rsidRPr="00BB3304">
              <w:rPr>
                <w:rFonts w:ascii="Arial" w:eastAsia="Times New Roman" w:hAnsi="Arial" w:cs="Arial"/>
                <w:b/>
                <w:sz w:val="18"/>
                <w:szCs w:val="18"/>
              </w:rPr>
              <w:t>TSH</w:t>
            </w:r>
            <w:r>
              <w:rPr>
                <w:rFonts w:ascii="Arial" w:eastAsia="Times New Roman" w:hAnsi="Arial" w:cs="Arial"/>
                <w:b/>
                <w:sz w:val="18"/>
                <w:szCs w:val="18"/>
              </w:rPr>
              <w:t xml:space="preserve"> </w:t>
            </w:r>
          </w:p>
        </w:tc>
        <w:tc>
          <w:tcPr>
            <w:tcW w:w="0" w:type="auto"/>
            <w:tcBorders>
              <w:top w:val="single" w:sz="4" w:space="0" w:color="auto"/>
              <w:left w:val="nil"/>
              <w:bottom w:val="nil"/>
              <w:right w:val="nil"/>
            </w:tcBorders>
            <w:shd w:val="clear" w:color="auto" w:fill="auto"/>
            <w:noWrap/>
            <w:vAlign w:val="center"/>
            <w:hideMark/>
          </w:tcPr>
          <w:p w14:paraId="20A45234" w14:textId="77777777" w:rsidR="0086223C" w:rsidRPr="00073DB4" w:rsidRDefault="0086223C" w:rsidP="00785889">
            <w:pPr>
              <w:spacing w:after="0" w:line="240" w:lineRule="auto"/>
              <w:jc w:val="center"/>
              <w:rPr>
                <w:rFonts w:ascii="Arial" w:eastAsia="Times New Roman" w:hAnsi="Arial" w:cs="Arial"/>
                <w:sz w:val="18"/>
                <w:szCs w:val="18"/>
              </w:rPr>
            </w:pPr>
            <w:r>
              <w:rPr>
                <w:rFonts w:ascii="Arial" w:eastAsia="Times New Roman" w:hAnsi="Arial" w:cs="Arial"/>
                <w:sz w:val="18"/>
                <w:szCs w:val="18"/>
              </w:rPr>
              <w:t>N=63/63</w:t>
            </w:r>
          </w:p>
        </w:tc>
        <w:tc>
          <w:tcPr>
            <w:tcW w:w="0" w:type="auto"/>
            <w:tcBorders>
              <w:top w:val="single" w:sz="4" w:space="0" w:color="auto"/>
              <w:left w:val="nil"/>
              <w:bottom w:val="nil"/>
              <w:right w:val="nil"/>
            </w:tcBorders>
            <w:shd w:val="clear" w:color="auto" w:fill="auto"/>
            <w:noWrap/>
            <w:vAlign w:val="center"/>
            <w:hideMark/>
          </w:tcPr>
          <w:p w14:paraId="5AF260B7" w14:textId="77777777" w:rsidR="0086223C" w:rsidRPr="00073DB4" w:rsidRDefault="001E0FF6" w:rsidP="00785889">
            <w:pPr>
              <w:spacing w:after="0" w:line="240" w:lineRule="auto"/>
              <w:jc w:val="center"/>
              <w:rPr>
                <w:rFonts w:ascii="Arial" w:eastAsia="Times New Roman" w:hAnsi="Arial" w:cs="Arial"/>
                <w:sz w:val="18"/>
                <w:szCs w:val="18"/>
              </w:rPr>
            </w:pPr>
            <w:r>
              <w:rPr>
                <w:rFonts w:ascii="Arial" w:eastAsia="Times New Roman" w:hAnsi="Arial" w:cs="Arial"/>
                <w:sz w:val="18"/>
                <w:szCs w:val="18"/>
              </w:rPr>
              <w:t>N=</w:t>
            </w:r>
            <w:r w:rsidR="00A47A26">
              <w:rPr>
                <w:rFonts w:ascii="Arial" w:eastAsia="Times New Roman" w:hAnsi="Arial" w:cs="Arial"/>
                <w:sz w:val="18"/>
                <w:szCs w:val="18"/>
              </w:rPr>
              <w:t>22</w:t>
            </w:r>
            <w:r>
              <w:rPr>
                <w:rFonts w:ascii="Arial" w:eastAsia="Times New Roman" w:hAnsi="Arial" w:cs="Arial"/>
                <w:sz w:val="18"/>
                <w:szCs w:val="18"/>
              </w:rPr>
              <w:t>/22</w:t>
            </w:r>
          </w:p>
        </w:tc>
        <w:tc>
          <w:tcPr>
            <w:tcW w:w="0" w:type="auto"/>
            <w:tcBorders>
              <w:top w:val="single" w:sz="4" w:space="0" w:color="auto"/>
              <w:left w:val="nil"/>
              <w:bottom w:val="nil"/>
              <w:right w:val="nil"/>
            </w:tcBorders>
            <w:shd w:val="clear" w:color="auto" w:fill="auto"/>
            <w:noWrap/>
            <w:vAlign w:val="center"/>
            <w:hideMark/>
          </w:tcPr>
          <w:p w14:paraId="1F7545CB" w14:textId="77777777" w:rsidR="0086223C" w:rsidRPr="00073DB4" w:rsidRDefault="001E0FF6" w:rsidP="00785889">
            <w:pPr>
              <w:spacing w:after="0" w:line="240" w:lineRule="auto"/>
              <w:jc w:val="center"/>
              <w:rPr>
                <w:rFonts w:ascii="Arial" w:eastAsia="Times New Roman" w:hAnsi="Arial" w:cs="Arial"/>
                <w:sz w:val="18"/>
                <w:szCs w:val="18"/>
              </w:rPr>
            </w:pPr>
            <w:r>
              <w:rPr>
                <w:rFonts w:ascii="Arial" w:eastAsia="Times New Roman" w:hAnsi="Arial" w:cs="Arial"/>
                <w:sz w:val="18"/>
                <w:szCs w:val="18"/>
              </w:rPr>
              <w:t>N=</w:t>
            </w:r>
            <w:r w:rsidR="00A47A26">
              <w:rPr>
                <w:rFonts w:ascii="Arial" w:eastAsia="Times New Roman" w:hAnsi="Arial" w:cs="Arial"/>
                <w:sz w:val="18"/>
                <w:szCs w:val="18"/>
              </w:rPr>
              <w:t>72</w:t>
            </w:r>
            <w:r>
              <w:rPr>
                <w:rFonts w:ascii="Arial" w:eastAsia="Times New Roman" w:hAnsi="Arial" w:cs="Arial"/>
                <w:sz w:val="18"/>
                <w:szCs w:val="18"/>
              </w:rPr>
              <w:t>/76</w:t>
            </w:r>
          </w:p>
        </w:tc>
        <w:tc>
          <w:tcPr>
            <w:tcW w:w="0" w:type="auto"/>
            <w:tcBorders>
              <w:top w:val="single" w:sz="4" w:space="0" w:color="auto"/>
              <w:left w:val="nil"/>
              <w:bottom w:val="nil"/>
              <w:right w:val="nil"/>
            </w:tcBorders>
            <w:shd w:val="clear" w:color="auto" w:fill="auto"/>
            <w:noWrap/>
            <w:vAlign w:val="center"/>
            <w:hideMark/>
          </w:tcPr>
          <w:p w14:paraId="71033324" w14:textId="77777777" w:rsidR="0086223C" w:rsidRPr="00073DB4" w:rsidRDefault="001E0FF6" w:rsidP="00785889">
            <w:pPr>
              <w:spacing w:after="0" w:line="240" w:lineRule="auto"/>
              <w:jc w:val="center"/>
              <w:rPr>
                <w:rFonts w:ascii="Arial" w:eastAsia="Times New Roman" w:hAnsi="Arial" w:cs="Arial"/>
                <w:sz w:val="18"/>
                <w:szCs w:val="18"/>
              </w:rPr>
            </w:pPr>
            <w:r>
              <w:rPr>
                <w:rFonts w:ascii="Arial" w:eastAsia="Times New Roman" w:hAnsi="Arial" w:cs="Arial"/>
                <w:sz w:val="18"/>
                <w:szCs w:val="18"/>
              </w:rPr>
              <w:t>N=</w:t>
            </w:r>
            <w:r w:rsidR="00A47A26">
              <w:rPr>
                <w:rFonts w:ascii="Arial" w:eastAsia="Times New Roman" w:hAnsi="Arial" w:cs="Arial"/>
                <w:sz w:val="18"/>
                <w:szCs w:val="18"/>
              </w:rPr>
              <w:t>26</w:t>
            </w:r>
            <w:r>
              <w:rPr>
                <w:rFonts w:ascii="Arial" w:eastAsia="Times New Roman" w:hAnsi="Arial" w:cs="Arial"/>
                <w:sz w:val="18"/>
                <w:szCs w:val="18"/>
              </w:rPr>
              <w:t>/28</w:t>
            </w:r>
          </w:p>
        </w:tc>
      </w:tr>
      <w:tr w:rsidR="00EB1BB5" w:rsidRPr="00073DB4" w14:paraId="111542BF" w14:textId="77777777" w:rsidTr="00EB1BB5">
        <w:trPr>
          <w:trHeight w:val="300"/>
        </w:trPr>
        <w:tc>
          <w:tcPr>
            <w:tcW w:w="0" w:type="auto"/>
            <w:tcBorders>
              <w:top w:val="nil"/>
              <w:left w:val="nil"/>
              <w:bottom w:val="nil"/>
              <w:right w:val="nil"/>
            </w:tcBorders>
            <w:vAlign w:val="center"/>
          </w:tcPr>
          <w:p w14:paraId="5030A070" w14:textId="77777777" w:rsidR="0086223C" w:rsidRDefault="0086223C" w:rsidP="00785889">
            <w:pPr>
              <w:spacing w:after="0" w:line="240" w:lineRule="auto"/>
              <w:jc w:val="center"/>
              <w:rPr>
                <w:rFonts w:ascii="Arial" w:eastAsia="Times New Roman" w:hAnsi="Arial" w:cs="Arial"/>
                <w:sz w:val="18"/>
                <w:szCs w:val="18"/>
              </w:rPr>
            </w:pPr>
          </w:p>
        </w:tc>
        <w:tc>
          <w:tcPr>
            <w:tcW w:w="0" w:type="auto"/>
            <w:tcBorders>
              <w:top w:val="nil"/>
              <w:left w:val="nil"/>
              <w:bottom w:val="nil"/>
              <w:right w:val="nil"/>
            </w:tcBorders>
            <w:shd w:val="clear" w:color="auto" w:fill="auto"/>
            <w:vAlign w:val="center"/>
            <w:hideMark/>
          </w:tcPr>
          <w:p w14:paraId="7487CC7D" w14:textId="77777777" w:rsidR="0086223C" w:rsidRPr="00073DB4" w:rsidRDefault="00A47A26" w:rsidP="00785889">
            <w:pPr>
              <w:spacing w:after="0" w:line="240" w:lineRule="auto"/>
              <w:jc w:val="center"/>
              <w:rPr>
                <w:rFonts w:ascii="Arial" w:eastAsia="Times New Roman" w:hAnsi="Arial" w:cs="Arial"/>
                <w:sz w:val="18"/>
                <w:szCs w:val="18"/>
              </w:rPr>
            </w:pPr>
            <w:proofErr w:type="spellStart"/>
            <w:r>
              <w:rPr>
                <w:rFonts w:ascii="Arial" w:eastAsia="Times New Roman" w:hAnsi="Arial" w:cs="Arial"/>
                <w:sz w:val="18"/>
                <w:szCs w:val="18"/>
              </w:rPr>
              <w:t>mU</w:t>
            </w:r>
            <w:proofErr w:type="spellEnd"/>
            <w:r>
              <w:rPr>
                <w:rFonts w:ascii="Arial" w:eastAsia="Times New Roman" w:hAnsi="Arial" w:cs="Arial"/>
                <w:sz w:val="18"/>
                <w:szCs w:val="18"/>
              </w:rPr>
              <w:t>/L</w:t>
            </w:r>
            <w:r w:rsidR="008465C0">
              <w:rPr>
                <w:rFonts w:ascii="Arial" w:eastAsia="Times New Roman" w:hAnsi="Arial" w:cs="Arial"/>
                <w:sz w:val="18"/>
                <w:szCs w:val="18"/>
              </w:rPr>
              <w:t xml:space="preserve"> (median, IQR)</w:t>
            </w:r>
          </w:p>
        </w:tc>
        <w:tc>
          <w:tcPr>
            <w:tcW w:w="0" w:type="auto"/>
            <w:tcBorders>
              <w:top w:val="nil"/>
              <w:left w:val="nil"/>
              <w:bottom w:val="nil"/>
              <w:right w:val="nil"/>
            </w:tcBorders>
            <w:shd w:val="clear" w:color="auto" w:fill="auto"/>
            <w:noWrap/>
            <w:vAlign w:val="center"/>
            <w:hideMark/>
          </w:tcPr>
          <w:p w14:paraId="18BCD584" w14:textId="77777777" w:rsidR="0086223C" w:rsidRPr="00073DB4" w:rsidRDefault="00A47A26" w:rsidP="00785889">
            <w:pPr>
              <w:spacing w:after="0" w:line="240" w:lineRule="auto"/>
              <w:jc w:val="center"/>
              <w:rPr>
                <w:rFonts w:ascii="Arial" w:eastAsia="Times New Roman" w:hAnsi="Arial" w:cs="Arial"/>
                <w:sz w:val="18"/>
                <w:szCs w:val="18"/>
              </w:rPr>
            </w:pPr>
            <w:r>
              <w:rPr>
                <w:rFonts w:ascii="Arial" w:eastAsia="Times New Roman" w:hAnsi="Arial" w:cs="Arial"/>
                <w:sz w:val="18"/>
                <w:szCs w:val="18"/>
              </w:rPr>
              <w:t>1.74</w:t>
            </w:r>
            <w:r w:rsidR="00EB1BB5">
              <w:rPr>
                <w:rFonts w:ascii="Arial" w:eastAsia="Times New Roman" w:hAnsi="Arial" w:cs="Arial"/>
                <w:sz w:val="18"/>
                <w:szCs w:val="18"/>
              </w:rPr>
              <w:t xml:space="preserve"> (1.02</w:t>
            </w:r>
            <w:r w:rsidR="008465C0">
              <w:rPr>
                <w:rFonts w:ascii="Arial" w:eastAsia="Times New Roman" w:hAnsi="Arial" w:cs="Arial"/>
                <w:sz w:val="18"/>
                <w:szCs w:val="18"/>
              </w:rPr>
              <w:t>–3.07)</w:t>
            </w:r>
          </w:p>
        </w:tc>
        <w:tc>
          <w:tcPr>
            <w:tcW w:w="0" w:type="auto"/>
            <w:tcBorders>
              <w:top w:val="nil"/>
              <w:left w:val="nil"/>
              <w:bottom w:val="nil"/>
              <w:right w:val="nil"/>
            </w:tcBorders>
            <w:shd w:val="clear" w:color="auto" w:fill="auto"/>
            <w:noWrap/>
            <w:vAlign w:val="center"/>
            <w:hideMark/>
          </w:tcPr>
          <w:p w14:paraId="1F57F768" w14:textId="77777777" w:rsidR="0086223C" w:rsidRPr="00073DB4" w:rsidRDefault="00A47A26" w:rsidP="00EB1BB5">
            <w:pPr>
              <w:spacing w:after="0" w:line="240" w:lineRule="auto"/>
              <w:jc w:val="center"/>
              <w:rPr>
                <w:rFonts w:ascii="Arial" w:eastAsia="Times New Roman" w:hAnsi="Arial" w:cs="Arial"/>
                <w:sz w:val="18"/>
                <w:szCs w:val="18"/>
              </w:rPr>
            </w:pPr>
            <w:r>
              <w:rPr>
                <w:rFonts w:ascii="Arial" w:eastAsia="Times New Roman" w:hAnsi="Arial" w:cs="Arial"/>
                <w:sz w:val="18"/>
                <w:szCs w:val="18"/>
              </w:rPr>
              <w:t>1.70</w:t>
            </w:r>
            <w:r w:rsidR="00EB1BB5">
              <w:rPr>
                <w:rFonts w:ascii="Arial" w:eastAsia="Times New Roman" w:hAnsi="Arial" w:cs="Arial"/>
                <w:sz w:val="18"/>
                <w:szCs w:val="18"/>
              </w:rPr>
              <w:t xml:space="preserve"> (0.85–2.27)</w:t>
            </w:r>
          </w:p>
        </w:tc>
        <w:tc>
          <w:tcPr>
            <w:tcW w:w="0" w:type="auto"/>
            <w:tcBorders>
              <w:top w:val="nil"/>
              <w:left w:val="nil"/>
              <w:bottom w:val="nil"/>
              <w:right w:val="nil"/>
            </w:tcBorders>
            <w:shd w:val="clear" w:color="auto" w:fill="auto"/>
            <w:noWrap/>
            <w:vAlign w:val="center"/>
            <w:hideMark/>
          </w:tcPr>
          <w:p w14:paraId="0CBB0B14" w14:textId="77777777" w:rsidR="0086223C" w:rsidRPr="00073DB4" w:rsidRDefault="00A47A26" w:rsidP="00785889">
            <w:pPr>
              <w:spacing w:after="0" w:line="240" w:lineRule="auto"/>
              <w:jc w:val="center"/>
              <w:rPr>
                <w:rFonts w:ascii="Arial" w:eastAsia="Times New Roman" w:hAnsi="Arial" w:cs="Arial"/>
                <w:sz w:val="18"/>
                <w:szCs w:val="18"/>
              </w:rPr>
            </w:pPr>
            <w:r>
              <w:rPr>
                <w:rFonts w:ascii="Arial" w:eastAsia="Times New Roman" w:hAnsi="Arial" w:cs="Arial"/>
                <w:sz w:val="18"/>
                <w:szCs w:val="18"/>
              </w:rPr>
              <w:t>1.72</w:t>
            </w:r>
            <w:r w:rsidR="00EB1BB5">
              <w:rPr>
                <w:rFonts w:ascii="Arial" w:eastAsia="Times New Roman" w:hAnsi="Arial" w:cs="Arial"/>
                <w:sz w:val="18"/>
                <w:szCs w:val="18"/>
              </w:rPr>
              <w:t xml:space="preserve"> (1.29-2.88)</w:t>
            </w:r>
          </w:p>
        </w:tc>
        <w:tc>
          <w:tcPr>
            <w:tcW w:w="0" w:type="auto"/>
            <w:tcBorders>
              <w:top w:val="nil"/>
              <w:left w:val="nil"/>
              <w:bottom w:val="nil"/>
              <w:right w:val="nil"/>
            </w:tcBorders>
            <w:shd w:val="clear" w:color="auto" w:fill="auto"/>
            <w:noWrap/>
            <w:vAlign w:val="center"/>
            <w:hideMark/>
          </w:tcPr>
          <w:p w14:paraId="7EA4BDE0" w14:textId="77777777" w:rsidR="0086223C" w:rsidRPr="00073DB4" w:rsidRDefault="00A47A26" w:rsidP="00785889">
            <w:pPr>
              <w:spacing w:after="0" w:line="240" w:lineRule="auto"/>
              <w:jc w:val="center"/>
              <w:rPr>
                <w:rFonts w:ascii="Arial" w:eastAsia="Times New Roman" w:hAnsi="Arial" w:cs="Arial"/>
                <w:sz w:val="18"/>
                <w:szCs w:val="18"/>
              </w:rPr>
            </w:pPr>
            <w:r>
              <w:rPr>
                <w:rFonts w:ascii="Arial" w:eastAsia="Times New Roman" w:hAnsi="Arial" w:cs="Arial"/>
                <w:sz w:val="18"/>
                <w:szCs w:val="18"/>
              </w:rPr>
              <w:t>2.04</w:t>
            </w:r>
            <w:r w:rsidR="00EB1BB5">
              <w:rPr>
                <w:rFonts w:ascii="Arial" w:eastAsia="Times New Roman" w:hAnsi="Arial" w:cs="Arial"/>
                <w:sz w:val="18"/>
                <w:szCs w:val="18"/>
              </w:rPr>
              <w:t xml:space="preserve"> (1.28-2.08)</w:t>
            </w:r>
          </w:p>
        </w:tc>
      </w:tr>
      <w:tr w:rsidR="00EB1BB5" w:rsidRPr="00073DB4" w14:paraId="520206D9" w14:textId="77777777" w:rsidTr="00EB1BB5">
        <w:trPr>
          <w:trHeight w:val="300"/>
        </w:trPr>
        <w:tc>
          <w:tcPr>
            <w:tcW w:w="0" w:type="auto"/>
            <w:tcBorders>
              <w:top w:val="nil"/>
              <w:left w:val="nil"/>
              <w:bottom w:val="nil"/>
              <w:right w:val="nil"/>
            </w:tcBorders>
            <w:vAlign w:val="center"/>
          </w:tcPr>
          <w:p w14:paraId="77AE6356" w14:textId="77777777" w:rsidR="0086223C" w:rsidRDefault="0086223C" w:rsidP="00785889">
            <w:pPr>
              <w:spacing w:after="0" w:line="240" w:lineRule="auto"/>
              <w:jc w:val="center"/>
              <w:rPr>
                <w:rFonts w:ascii="Arial" w:eastAsia="Times New Roman" w:hAnsi="Arial" w:cs="Arial"/>
                <w:sz w:val="18"/>
                <w:szCs w:val="18"/>
              </w:rPr>
            </w:pPr>
          </w:p>
        </w:tc>
        <w:tc>
          <w:tcPr>
            <w:tcW w:w="0" w:type="auto"/>
            <w:tcBorders>
              <w:top w:val="nil"/>
              <w:left w:val="nil"/>
              <w:bottom w:val="nil"/>
              <w:right w:val="nil"/>
            </w:tcBorders>
            <w:shd w:val="clear" w:color="auto" w:fill="auto"/>
            <w:vAlign w:val="center"/>
            <w:hideMark/>
          </w:tcPr>
          <w:p w14:paraId="7825E528" w14:textId="77777777" w:rsidR="0086223C" w:rsidRPr="00073DB4" w:rsidRDefault="00121873" w:rsidP="00C21AFE">
            <w:pPr>
              <w:spacing w:after="0" w:line="240" w:lineRule="auto"/>
              <w:jc w:val="center"/>
              <w:rPr>
                <w:rFonts w:ascii="Arial" w:eastAsia="Times New Roman" w:hAnsi="Arial" w:cs="Arial"/>
                <w:sz w:val="18"/>
                <w:szCs w:val="18"/>
              </w:rPr>
            </w:pPr>
            <w:r>
              <w:rPr>
                <w:rFonts w:ascii="Arial" w:eastAsia="Times New Roman" w:hAnsi="Arial" w:cs="Arial"/>
                <w:b/>
                <w:sz w:val="18"/>
                <w:szCs w:val="18"/>
              </w:rPr>
              <w:t xml:space="preserve">free </w:t>
            </w:r>
            <w:r w:rsidR="0086223C" w:rsidRPr="00BB3304">
              <w:rPr>
                <w:rFonts w:ascii="Arial" w:eastAsia="Times New Roman" w:hAnsi="Arial" w:cs="Arial"/>
                <w:b/>
                <w:sz w:val="18"/>
                <w:szCs w:val="18"/>
              </w:rPr>
              <w:t>T</w:t>
            </w:r>
            <w:r w:rsidR="0086223C">
              <w:rPr>
                <w:rFonts w:ascii="Arial" w:eastAsia="Times New Roman" w:hAnsi="Arial" w:cs="Arial"/>
                <w:b/>
                <w:sz w:val="18"/>
                <w:szCs w:val="18"/>
              </w:rPr>
              <w:t xml:space="preserve">4 </w:t>
            </w:r>
          </w:p>
        </w:tc>
        <w:tc>
          <w:tcPr>
            <w:tcW w:w="0" w:type="auto"/>
            <w:tcBorders>
              <w:top w:val="nil"/>
              <w:left w:val="nil"/>
              <w:bottom w:val="nil"/>
              <w:right w:val="nil"/>
            </w:tcBorders>
            <w:shd w:val="clear" w:color="auto" w:fill="auto"/>
            <w:noWrap/>
            <w:vAlign w:val="center"/>
            <w:hideMark/>
          </w:tcPr>
          <w:p w14:paraId="60D526BE" w14:textId="77777777" w:rsidR="0086223C" w:rsidRPr="00073DB4" w:rsidRDefault="00A47A26" w:rsidP="00785889">
            <w:pPr>
              <w:spacing w:after="0" w:line="240" w:lineRule="auto"/>
              <w:jc w:val="center"/>
              <w:rPr>
                <w:rFonts w:ascii="Arial" w:eastAsia="Times New Roman" w:hAnsi="Arial" w:cs="Arial"/>
                <w:sz w:val="18"/>
                <w:szCs w:val="18"/>
              </w:rPr>
            </w:pPr>
            <w:r>
              <w:rPr>
                <w:rFonts w:ascii="Arial" w:eastAsia="Times New Roman" w:hAnsi="Arial" w:cs="Arial"/>
                <w:sz w:val="18"/>
                <w:szCs w:val="18"/>
              </w:rPr>
              <w:t>N=63/63</w:t>
            </w:r>
          </w:p>
        </w:tc>
        <w:tc>
          <w:tcPr>
            <w:tcW w:w="0" w:type="auto"/>
            <w:tcBorders>
              <w:top w:val="nil"/>
              <w:left w:val="nil"/>
              <w:bottom w:val="nil"/>
              <w:right w:val="nil"/>
            </w:tcBorders>
            <w:shd w:val="clear" w:color="auto" w:fill="auto"/>
            <w:noWrap/>
            <w:vAlign w:val="center"/>
            <w:hideMark/>
          </w:tcPr>
          <w:p w14:paraId="6C3C208F" w14:textId="77777777" w:rsidR="0086223C" w:rsidRPr="00073DB4" w:rsidRDefault="001E0FF6" w:rsidP="001E0FF6">
            <w:pPr>
              <w:spacing w:after="0" w:line="240" w:lineRule="auto"/>
              <w:jc w:val="center"/>
              <w:rPr>
                <w:rFonts w:ascii="Arial" w:eastAsia="Times New Roman" w:hAnsi="Arial" w:cs="Arial"/>
                <w:sz w:val="18"/>
                <w:szCs w:val="18"/>
              </w:rPr>
            </w:pPr>
            <w:r>
              <w:rPr>
                <w:rFonts w:ascii="Arial" w:eastAsia="Times New Roman" w:hAnsi="Arial" w:cs="Arial"/>
                <w:sz w:val="18"/>
                <w:szCs w:val="18"/>
              </w:rPr>
              <w:t>N=21/22</w:t>
            </w:r>
          </w:p>
        </w:tc>
        <w:tc>
          <w:tcPr>
            <w:tcW w:w="0" w:type="auto"/>
            <w:tcBorders>
              <w:top w:val="nil"/>
              <w:left w:val="nil"/>
              <w:bottom w:val="nil"/>
              <w:right w:val="nil"/>
            </w:tcBorders>
            <w:shd w:val="clear" w:color="auto" w:fill="auto"/>
            <w:noWrap/>
            <w:vAlign w:val="center"/>
            <w:hideMark/>
          </w:tcPr>
          <w:p w14:paraId="59BA1079" w14:textId="77777777" w:rsidR="0086223C" w:rsidRPr="00073DB4" w:rsidRDefault="001E0FF6" w:rsidP="00785889">
            <w:pPr>
              <w:spacing w:after="0" w:line="240" w:lineRule="auto"/>
              <w:jc w:val="center"/>
              <w:rPr>
                <w:rFonts w:ascii="Arial" w:eastAsia="Times New Roman" w:hAnsi="Arial" w:cs="Arial"/>
                <w:sz w:val="18"/>
                <w:szCs w:val="18"/>
              </w:rPr>
            </w:pPr>
            <w:r>
              <w:rPr>
                <w:rFonts w:ascii="Arial" w:eastAsia="Times New Roman" w:hAnsi="Arial" w:cs="Arial"/>
                <w:sz w:val="18"/>
                <w:szCs w:val="18"/>
              </w:rPr>
              <w:t>N=72/76</w:t>
            </w:r>
          </w:p>
        </w:tc>
        <w:tc>
          <w:tcPr>
            <w:tcW w:w="0" w:type="auto"/>
            <w:tcBorders>
              <w:top w:val="nil"/>
              <w:left w:val="nil"/>
              <w:bottom w:val="nil"/>
              <w:right w:val="nil"/>
            </w:tcBorders>
            <w:shd w:val="clear" w:color="auto" w:fill="auto"/>
            <w:noWrap/>
            <w:vAlign w:val="center"/>
            <w:hideMark/>
          </w:tcPr>
          <w:p w14:paraId="5216DBFB" w14:textId="77777777" w:rsidR="0086223C" w:rsidRPr="00073DB4" w:rsidRDefault="001E0FF6" w:rsidP="00785889">
            <w:pPr>
              <w:spacing w:after="0" w:line="240" w:lineRule="auto"/>
              <w:jc w:val="center"/>
              <w:rPr>
                <w:rFonts w:ascii="Arial" w:eastAsia="Times New Roman" w:hAnsi="Arial" w:cs="Arial"/>
                <w:sz w:val="18"/>
                <w:szCs w:val="18"/>
              </w:rPr>
            </w:pPr>
            <w:r>
              <w:rPr>
                <w:rFonts w:ascii="Arial" w:eastAsia="Times New Roman" w:hAnsi="Arial" w:cs="Arial"/>
                <w:sz w:val="18"/>
                <w:szCs w:val="18"/>
              </w:rPr>
              <w:t>N=26/28</w:t>
            </w:r>
          </w:p>
        </w:tc>
      </w:tr>
      <w:tr w:rsidR="00EB1BB5" w:rsidRPr="00073DB4" w14:paraId="66A2FF8D" w14:textId="77777777" w:rsidTr="00EB1BB5">
        <w:trPr>
          <w:trHeight w:val="300"/>
        </w:trPr>
        <w:tc>
          <w:tcPr>
            <w:tcW w:w="0" w:type="auto"/>
            <w:tcBorders>
              <w:top w:val="nil"/>
              <w:left w:val="nil"/>
              <w:bottom w:val="nil"/>
              <w:right w:val="nil"/>
            </w:tcBorders>
            <w:vAlign w:val="center"/>
          </w:tcPr>
          <w:p w14:paraId="32CD846E" w14:textId="77777777" w:rsidR="0086223C" w:rsidRPr="00BB3304" w:rsidRDefault="0086223C" w:rsidP="00BB3304">
            <w:pPr>
              <w:spacing w:after="0" w:line="240" w:lineRule="auto"/>
              <w:jc w:val="center"/>
              <w:rPr>
                <w:rFonts w:ascii="Arial" w:eastAsia="Times New Roman" w:hAnsi="Arial" w:cs="Arial"/>
                <w:b/>
                <w:sz w:val="18"/>
                <w:szCs w:val="18"/>
              </w:rPr>
            </w:pPr>
          </w:p>
        </w:tc>
        <w:tc>
          <w:tcPr>
            <w:tcW w:w="0" w:type="auto"/>
            <w:tcBorders>
              <w:top w:val="nil"/>
              <w:left w:val="nil"/>
              <w:bottom w:val="nil"/>
              <w:right w:val="nil"/>
            </w:tcBorders>
            <w:shd w:val="clear" w:color="auto" w:fill="auto"/>
            <w:vAlign w:val="center"/>
            <w:hideMark/>
          </w:tcPr>
          <w:p w14:paraId="115E4263" w14:textId="77777777" w:rsidR="0086223C" w:rsidRPr="00BB3304" w:rsidRDefault="00A47A26" w:rsidP="00BB3304">
            <w:pPr>
              <w:spacing w:after="0" w:line="240" w:lineRule="auto"/>
              <w:jc w:val="center"/>
              <w:rPr>
                <w:rFonts w:ascii="Arial" w:eastAsia="Times New Roman" w:hAnsi="Arial" w:cs="Arial"/>
                <w:b/>
                <w:sz w:val="18"/>
                <w:szCs w:val="18"/>
              </w:rPr>
            </w:pPr>
            <w:proofErr w:type="spellStart"/>
            <w:r>
              <w:rPr>
                <w:rFonts w:ascii="Arial" w:eastAsia="Times New Roman" w:hAnsi="Arial" w:cs="Arial"/>
                <w:sz w:val="18"/>
                <w:szCs w:val="18"/>
              </w:rPr>
              <w:t>pmol</w:t>
            </w:r>
            <w:proofErr w:type="spellEnd"/>
            <w:r>
              <w:rPr>
                <w:rFonts w:ascii="Arial" w:eastAsia="Times New Roman" w:hAnsi="Arial" w:cs="Arial"/>
                <w:sz w:val="18"/>
                <w:szCs w:val="18"/>
              </w:rPr>
              <w:t>/L</w:t>
            </w:r>
            <w:r w:rsidR="008465C0">
              <w:rPr>
                <w:rFonts w:ascii="Arial" w:eastAsia="Times New Roman" w:hAnsi="Arial" w:cs="Arial"/>
                <w:sz w:val="18"/>
                <w:szCs w:val="18"/>
              </w:rPr>
              <w:t xml:space="preserve"> (median, IQR)</w:t>
            </w:r>
          </w:p>
        </w:tc>
        <w:tc>
          <w:tcPr>
            <w:tcW w:w="0" w:type="auto"/>
            <w:tcBorders>
              <w:top w:val="nil"/>
              <w:left w:val="nil"/>
              <w:bottom w:val="nil"/>
              <w:right w:val="nil"/>
            </w:tcBorders>
            <w:shd w:val="clear" w:color="auto" w:fill="auto"/>
            <w:noWrap/>
            <w:vAlign w:val="center"/>
            <w:hideMark/>
          </w:tcPr>
          <w:p w14:paraId="68257BF2" w14:textId="77777777" w:rsidR="0086223C" w:rsidRPr="00073DB4" w:rsidRDefault="00A47A26" w:rsidP="00785889">
            <w:pPr>
              <w:spacing w:after="0" w:line="240" w:lineRule="auto"/>
              <w:jc w:val="center"/>
              <w:rPr>
                <w:rFonts w:ascii="Arial" w:eastAsia="Times New Roman" w:hAnsi="Arial" w:cs="Arial"/>
                <w:sz w:val="18"/>
                <w:szCs w:val="18"/>
              </w:rPr>
            </w:pPr>
            <w:r>
              <w:rPr>
                <w:rFonts w:ascii="Arial" w:eastAsia="Times New Roman" w:hAnsi="Arial" w:cs="Arial"/>
                <w:sz w:val="18"/>
                <w:szCs w:val="18"/>
              </w:rPr>
              <w:t>16.0</w:t>
            </w:r>
            <w:r w:rsidR="00EB1BB5">
              <w:rPr>
                <w:rFonts w:ascii="Arial" w:eastAsia="Times New Roman" w:hAnsi="Arial" w:cs="Arial"/>
                <w:sz w:val="18"/>
                <w:szCs w:val="18"/>
              </w:rPr>
              <w:t xml:space="preserve"> (13.0</w:t>
            </w:r>
            <w:r w:rsidR="008465C0">
              <w:rPr>
                <w:rFonts w:ascii="Arial" w:eastAsia="Times New Roman" w:hAnsi="Arial" w:cs="Arial"/>
                <w:sz w:val="18"/>
                <w:szCs w:val="18"/>
              </w:rPr>
              <w:t>–17.0)</w:t>
            </w:r>
          </w:p>
        </w:tc>
        <w:tc>
          <w:tcPr>
            <w:tcW w:w="0" w:type="auto"/>
            <w:tcBorders>
              <w:top w:val="nil"/>
              <w:left w:val="nil"/>
              <w:bottom w:val="nil"/>
              <w:right w:val="nil"/>
            </w:tcBorders>
            <w:shd w:val="clear" w:color="auto" w:fill="auto"/>
            <w:noWrap/>
            <w:vAlign w:val="center"/>
            <w:hideMark/>
          </w:tcPr>
          <w:p w14:paraId="0110E4A9" w14:textId="77777777" w:rsidR="0086223C" w:rsidRPr="00073DB4" w:rsidRDefault="00A47A26" w:rsidP="00785889">
            <w:pPr>
              <w:spacing w:after="0" w:line="240" w:lineRule="auto"/>
              <w:jc w:val="center"/>
              <w:rPr>
                <w:rFonts w:ascii="Arial" w:eastAsia="Times New Roman" w:hAnsi="Arial" w:cs="Arial"/>
                <w:sz w:val="18"/>
                <w:szCs w:val="18"/>
              </w:rPr>
            </w:pPr>
            <w:r>
              <w:rPr>
                <w:rFonts w:ascii="Arial" w:eastAsia="Times New Roman" w:hAnsi="Arial" w:cs="Arial"/>
                <w:sz w:val="18"/>
                <w:szCs w:val="18"/>
              </w:rPr>
              <w:t>15</w:t>
            </w:r>
            <w:r w:rsidR="001E0FF6">
              <w:rPr>
                <w:rFonts w:ascii="Arial" w:eastAsia="Times New Roman" w:hAnsi="Arial" w:cs="Arial"/>
                <w:sz w:val="18"/>
                <w:szCs w:val="18"/>
              </w:rPr>
              <w:t>.0</w:t>
            </w:r>
            <w:r w:rsidR="00EB1BB5">
              <w:rPr>
                <w:rFonts w:ascii="Arial" w:eastAsia="Times New Roman" w:hAnsi="Arial" w:cs="Arial"/>
                <w:sz w:val="18"/>
                <w:szCs w:val="18"/>
              </w:rPr>
              <w:t xml:space="preserve"> (15.0–17.0)</w:t>
            </w:r>
          </w:p>
        </w:tc>
        <w:tc>
          <w:tcPr>
            <w:tcW w:w="0" w:type="auto"/>
            <w:tcBorders>
              <w:top w:val="nil"/>
              <w:left w:val="nil"/>
              <w:bottom w:val="nil"/>
              <w:right w:val="nil"/>
            </w:tcBorders>
            <w:shd w:val="clear" w:color="auto" w:fill="auto"/>
            <w:noWrap/>
            <w:vAlign w:val="center"/>
            <w:hideMark/>
          </w:tcPr>
          <w:p w14:paraId="0020D089" w14:textId="77777777" w:rsidR="0086223C" w:rsidRPr="00073DB4" w:rsidRDefault="00A47A26" w:rsidP="00785889">
            <w:pPr>
              <w:spacing w:after="0" w:line="240" w:lineRule="auto"/>
              <w:jc w:val="center"/>
              <w:rPr>
                <w:rFonts w:ascii="Arial" w:eastAsia="Times New Roman" w:hAnsi="Arial" w:cs="Arial"/>
                <w:sz w:val="18"/>
                <w:szCs w:val="18"/>
              </w:rPr>
            </w:pPr>
            <w:r>
              <w:rPr>
                <w:rFonts w:ascii="Arial" w:eastAsia="Times New Roman" w:hAnsi="Arial" w:cs="Arial"/>
                <w:sz w:val="18"/>
                <w:szCs w:val="18"/>
              </w:rPr>
              <w:t>15</w:t>
            </w:r>
            <w:r w:rsidR="001E0FF6">
              <w:rPr>
                <w:rFonts w:ascii="Arial" w:eastAsia="Times New Roman" w:hAnsi="Arial" w:cs="Arial"/>
                <w:sz w:val="18"/>
                <w:szCs w:val="18"/>
              </w:rPr>
              <w:t>.0</w:t>
            </w:r>
            <w:r w:rsidR="00EB1BB5">
              <w:rPr>
                <w:rFonts w:ascii="Arial" w:eastAsia="Times New Roman" w:hAnsi="Arial" w:cs="Arial"/>
                <w:sz w:val="18"/>
                <w:szCs w:val="18"/>
              </w:rPr>
              <w:t xml:space="preserve"> (14.0-17.0)</w:t>
            </w:r>
          </w:p>
        </w:tc>
        <w:tc>
          <w:tcPr>
            <w:tcW w:w="0" w:type="auto"/>
            <w:tcBorders>
              <w:top w:val="nil"/>
              <w:left w:val="nil"/>
              <w:bottom w:val="nil"/>
              <w:right w:val="nil"/>
            </w:tcBorders>
            <w:shd w:val="clear" w:color="auto" w:fill="auto"/>
            <w:noWrap/>
            <w:vAlign w:val="center"/>
            <w:hideMark/>
          </w:tcPr>
          <w:p w14:paraId="05ECC089" w14:textId="77777777" w:rsidR="0086223C" w:rsidRPr="00073DB4" w:rsidRDefault="00A47A26" w:rsidP="00785889">
            <w:pPr>
              <w:spacing w:after="0" w:line="240" w:lineRule="auto"/>
              <w:jc w:val="center"/>
              <w:rPr>
                <w:rFonts w:ascii="Arial" w:eastAsia="Times New Roman" w:hAnsi="Arial" w:cs="Arial"/>
                <w:sz w:val="18"/>
                <w:szCs w:val="18"/>
              </w:rPr>
            </w:pPr>
            <w:r>
              <w:rPr>
                <w:rFonts w:ascii="Arial" w:eastAsia="Times New Roman" w:hAnsi="Arial" w:cs="Arial"/>
                <w:sz w:val="18"/>
                <w:szCs w:val="18"/>
              </w:rPr>
              <w:t>15</w:t>
            </w:r>
            <w:r w:rsidR="001E0FF6">
              <w:rPr>
                <w:rFonts w:ascii="Arial" w:eastAsia="Times New Roman" w:hAnsi="Arial" w:cs="Arial"/>
                <w:sz w:val="18"/>
                <w:szCs w:val="18"/>
              </w:rPr>
              <w:t>.0</w:t>
            </w:r>
            <w:r w:rsidR="00EB1BB5">
              <w:rPr>
                <w:rFonts w:ascii="Arial" w:eastAsia="Times New Roman" w:hAnsi="Arial" w:cs="Arial"/>
                <w:sz w:val="18"/>
                <w:szCs w:val="18"/>
              </w:rPr>
              <w:t xml:space="preserve"> (14.0-17.2)</w:t>
            </w:r>
          </w:p>
        </w:tc>
      </w:tr>
      <w:tr w:rsidR="00EB1BB5" w:rsidRPr="00073DB4" w14:paraId="2A4707ED" w14:textId="77777777" w:rsidTr="00EB1BB5">
        <w:trPr>
          <w:trHeight w:val="300"/>
        </w:trPr>
        <w:tc>
          <w:tcPr>
            <w:tcW w:w="0" w:type="auto"/>
            <w:tcBorders>
              <w:top w:val="nil"/>
              <w:left w:val="nil"/>
              <w:bottom w:val="nil"/>
              <w:right w:val="nil"/>
            </w:tcBorders>
            <w:vAlign w:val="center"/>
          </w:tcPr>
          <w:p w14:paraId="1632A601" w14:textId="77777777" w:rsidR="0086223C" w:rsidRDefault="0086223C" w:rsidP="00785889">
            <w:pPr>
              <w:spacing w:after="0" w:line="240" w:lineRule="auto"/>
              <w:jc w:val="center"/>
              <w:rPr>
                <w:rFonts w:ascii="Arial" w:eastAsia="Times New Roman" w:hAnsi="Arial" w:cs="Arial"/>
                <w:sz w:val="18"/>
                <w:szCs w:val="18"/>
              </w:rPr>
            </w:pPr>
          </w:p>
        </w:tc>
        <w:tc>
          <w:tcPr>
            <w:tcW w:w="0" w:type="auto"/>
            <w:tcBorders>
              <w:top w:val="nil"/>
              <w:left w:val="nil"/>
              <w:bottom w:val="nil"/>
              <w:right w:val="nil"/>
            </w:tcBorders>
            <w:shd w:val="clear" w:color="auto" w:fill="auto"/>
            <w:vAlign w:val="center"/>
            <w:hideMark/>
          </w:tcPr>
          <w:p w14:paraId="301721C5" w14:textId="77777777" w:rsidR="0086223C" w:rsidRPr="00073DB4" w:rsidRDefault="0086223C" w:rsidP="00785889">
            <w:pPr>
              <w:spacing w:after="0" w:line="240" w:lineRule="auto"/>
              <w:jc w:val="center"/>
              <w:rPr>
                <w:rFonts w:ascii="Arial" w:eastAsia="Times New Roman" w:hAnsi="Arial" w:cs="Arial"/>
                <w:sz w:val="18"/>
                <w:szCs w:val="18"/>
              </w:rPr>
            </w:pPr>
            <w:r>
              <w:rPr>
                <w:rFonts w:ascii="Arial" w:eastAsia="Times New Roman" w:hAnsi="Arial" w:cs="Arial"/>
                <w:sz w:val="18"/>
                <w:szCs w:val="18"/>
              </w:rPr>
              <w:t>Overt hypothyroidism</w:t>
            </w:r>
          </w:p>
        </w:tc>
        <w:tc>
          <w:tcPr>
            <w:tcW w:w="0" w:type="auto"/>
            <w:tcBorders>
              <w:top w:val="nil"/>
              <w:left w:val="nil"/>
              <w:bottom w:val="nil"/>
              <w:right w:val="nil"/>
            </w:tcBorders>
            <w:shd w:val="clear" w:color="auto" w:fill="auto"/>
            <w:noWrap/>
            <w:vAlign w:val="center"/>
            <w:hideMark/>
          </w:tcPr>
          <w:p w14:paraId="02775F42" w14:textId="77777777" w:rsidR="0086223C" w:rsidRPr="00073DB4" w:rsidRDefault="00677627" w:rsidP="00785889">
            <w:pPr>
              <w:spacing w:after="0" w:line="240" w:lineRule="auto"/>
              <w:jc w:val="center"/>
              <w:rPr>
                <w:rFonts w:ascii="Arial" w:eastAsia="Times New Roman" w:hAnsi="Arial" w:cs="Arial"/>
                <w:sz w:val="18"/>
                <w:szCs w:val="18"/>
              </w:rPr>
            </w:pPr>
            <w:r>
              <w:rPr>
                <w:rFonts w:ascii="Arial" w:eastAsia="Times New Roman" w:hAnsi="Arial" w:cs="Arial"/>
                <w:bCs/>
                <w:sz w:val="18"/>
                <w:szCs w:val="18"/>
              </w:rPr>
              <w:t>0 (0%)</w:t>
            </w:r>
          </w:p>
        </w:tc>
        <w:tc>
          <w:tcPr>
            <w:tcW w:w="0" w:type="auto"/>
            <w:tcBorders>
              <w:top w:val="nil"/>
              <w:left w:val="nil"/>
              <w:bottom w:val="nil"/>
              <w:right w:val="nil"/>
            </w:tcBorders>
            <w:shd w:val="clear" w:color="auto" w:fill="auto"/>
            <w:noWrap/>
            <w:vAlign w:val="center"/>
            <w:hideMark/>
          </w:tcPr>
          <w:p w14:paraId="388E0E8A" w14:textId="77777777" w:rsidR="0086223C" w:rsidRPr="00073DB4" w:rsidRDefault="00677627" w:rsidP="00785889">
            <w:pPr>
              <w:spacing w:after="0" w:line="240" w:lineRule="auto"/>
              <w:jc w:val="center"/>
              <w:rPr>
                <w:rFonts w:ascii="Arial" w:eastAsia="Times New Roman" w:hAnsi="Arial" w:cs="Arial"/>
                <w:sz w:val="18"/>
                <w:szCs w:val="18"/>
              </w:rPr>
            </w:pPr>
            <w:r>
              <w:rPr>
                <w:rFonts w:ascii="Arial" w:eastAsia="Times New Roman" w:hAnsi="Arial" w:cs="Arial"/>
                <w:bCs/>
                <w:sz w:val="18"/>
                <w:szCs w:val="18"/>
              </w:rPr>
              <w:t>0 (0%)</w:t>
            </w:r>
          </w:p>
        </w:tc>
        <w:tc>
          <w:tcPr>
            <w:tcW w:w="0" w:type="auto"/>
            <w:tcBorders>
              <w:top w:val="nil"/>
              <w:left w:val="nil"/>
              <w:bottom w:val="nil"/>
              <w:right w:val="nil"/>
            </w:tcBorders>
            <w:shd w:val="clear" w:color="auto" w:fill="auto"/>
            <w:noWrap/>
            <w:vAlign w:val="center"/>
            <w:hideMark/>
          </w:tcPr>
          <w:p w14:paraId="3CD09A61" w14:textId="77777777" w:rsidR="0086223C" w:rsidRPr="00073DB4" w:rsidRDefault="00677627" w:rsidP="00785889">
            <w:pPr>
              <w:spacing w:after="0" w:line="240" w:lineRule="auto"/>
              <w:jc w:val="center"/>
              <w:rPr>
                <w:rFonts w:ascii="Arial" w:eastAsia="Times New Roman" w:hAnsi="Arial" w:cs="Arial"/>
                <w:sz w:val="18"/>
                <w:szCs w:val="18"/>
              </w:rPr>
            </w:pPr>
            <w:r>
              <w:rPr>
                <w:rFonts w:ascii="Arial" w:eastAsia="Times New Roman" w:hAnsi="Arial" w:cs="Arial"/>
                <w:bCs/>
                <w:sz w:val="18"/>
                <w:szCs w:val="18"/>
              </w:rPr>
              <w:t>0 (0%)</w:t>
            </w:r>
          </w:p>
        </w:tc>
        <w:tc>
          <w:tcPr>
            <w:tcW w:w="0" w:type="auto"/>
            <w:tcBorders>
              <w:top w:val="nil"/>
              <w:left w:val="nil"/>
              <w:bottom w:val="nil"/>
              <w:right w:val="nil"/>
            </w:tcBorders>
            <w:shd w:val="clear" w:color="auto" w:fill="auto"/>
            <w:noWrap/>
            <w:vAlign w:val="center"/>
            <w:hideMark/>
          </w:tcPr>
          <w:p w14:paraId="29BF4857" w14:textId="77777777" w:rsidR="0086223C" w:rsidRPr="00073DB4" w:rsidRDefault="00677627" w:rsidP="00785889">
            <w:pPr>
              <w:spacing w:after="0" w:line="240" w:lineRule="auto"/>
              <w:jc w:val="center"/>
              <w:rPr>
                <w:rFonts w:ascii="Arial" w:eastAsia="Times New Roman" w:hAnsi="Arial" w:cs="Arial"/>
                <w:sz w:val="18"/>
                <w:szCs w:val="18"/>
              </w:rPr>
            </w:pPr>
            <w:r>
              <w:rPr>
                <w:rFonts w:ascii="Arial" w:eastAsia="Times New Roman" w:hAnsi="Arial" w:cs="Arial"/>
                <w:bCs/>
                <w:sz w:val="18"/>
                <w:szCs w:val="18"/>
              </w:rPr>
              <w:t>0 (0%)</w:t>
            </w:r>
          </w:p>
        </w:tc>
      </w:tr>
      <w:tr w:rsidR="00EB1BB5" w:rsidRPr="00073DB4" w14:paraId="5F6C3053" w14:textId="77777777" w:rsidTr="00EB1BB5">
        <w:trPr>
          <w:trHeight w:val="300"/>
        </w:trPr>
        <w:tc>
          <w:tcPr>
            <w:tcW w:w="0" w:type="auto"/>
            <w:tcBorders>
              <w:top w:val="nil"/>
              <w:left w:val="nil"/>
              <w:bottom w:val="single" w:sz="4" w:space="0" w:color="auto"/>
              <w:right w:val="nil"/>
            </w:tcBorders>
            <w:vAlign w:val="center"/>
          </w:tcPr>
          <w:p w14:paraId="0207CC2B" w14:textId="77777777" w:rsidR="0086223C" w:rsidRDefault="0086223C" w:rsidP="00785889">
            <w:pPr>
              <w:spacing w:after="0" w:line="240" w:lineRule="auto"/>
              <w:jc w:val="center"/>
              <w:rPr>
                <w:rFonts w:ascii="Arial" w:eastAsia="Times New Roman" w:hAnsi="Arial" w:cs="Arial"/>
                <w:sz w:val="18"/>
                <w:szCs w:val="18"/>
              </w:rPr>
            </w:pPr>
          </w:p>
        </w:tc>
        <w:tc>
          <w:tcPr>
            <w:tcW w:w="0" w:type="auto"/>
            <w:tcBorders>
              <w:top w:val="nil"/>
              <w:left w:val="nil"/>
              <w:bottom w:val="single" w:sz="4" w:space="0" w:color="auto"/>
              <w:right w:val="nil"/>
            </w:tcBorders>
            <w:shd w:val="clear" w:color="auto" w:fill="auto"/>
            <w:vAlign w:val="center"/>
            <w:hideMark/>
          </w:tcPr>
          <w:p w14:paraId="00304286" w14:textId="77777777" w:rsidR="0086223C" w:rsidRPr="00073DB4" w:rsidRDefault="0086223C" w:rsidP="00785889">
            <w:pPr>
              <w:spacing w:after="0" w:line="240" w:lineRule="auto"/>
              <w:jc w:val="center"/>
              <w:rPr>
                <w:rFonts w:ascii="Arial" w:eastAsia="Times New Roman" w:hAnsi="Arial" w:cs="Arial"/>
                <w:b/>
                <w:bCs/>
                <w:sz w:val="18"/>
                <w:szCs w:val="18"/>
              </w:rPr>
            </w:pPr>
            <w:r>
              <w:rPr>
                <w:rFonts w:ascii="Arial" w:eastAsia="Times New Roman" w:hAnsi="Arial" w:cs="Arial"/>
                <w:sz w:val="18"/>
                <w:szCs w:val="18"/>
              </w:rPr>
              <w:t>Subclinical hypothyroidism</w:t>
            </w:r>
          </w:p>
        </w:tc>
        <w:tc>
          <w:tcPr>
            <w:tcW w:w="0" w:type="auto"/>
            <w:tcBorders>
              <w:top w:val="nil"/>
              <w:left w:val="nil"/>
              <w:bottom w:val="single" w:sz="4" w:space="0" w:color="auto"/>
              <w:right w:val="nil"/>
            </w:tcBorders>
            <w:shd w:val="clear" w:color="auto" w:fill="auto"/>
            <w:noWrap/>
            <w:vAlign w:val="center"/>
            <w:hideMark/>
          </w:tcPr>
          <w:p w14:paraId="5674CB4C" w14:textId="77777777" w:rsidR="0086223C" w:rsidRPr="00C21AFE" w:rsidRDefault="002D0152" w:rsidP="00785889">
            <w:pPr>
              <w:spacing w:after="0" w:line="240" w:lineRule="auto"/>
              <w:jc w:val="center"/>
              <w:rPr>
                <w:rFonts w:ascii="Arial" w:eastAsia="Times New Roman" w:hAnsi="Arial" w:cs="Arial"/>
                <w:bCs/>
                <w:sz w:val="18"/>
                <w:szCs w:val="18"/>
              </w:rPr>
            </w:pPr>
            <w:r w:rsidRPr="002D0152">
              <w:rPr>
                <w:rFonts w:ascii="Arial" w:eastAsia="Times New Roman" w:hAnsi="Arial" w:cs="Arial"/>
                <w:bCs/>
                <w:sz w:val="18"/>
                <w:szCs w:val="18"/>
              </w:rPr>
              <w:t>6 (9.5%)</w:t>
            </w:r>
          </w:p>
        </w:tc>
        <w:tc>
          <w:tcPr>
            <w:tcW w:w="0" w:type="auto"/>
            <w:tcBorders>
              <w:top w:val="nil"/>
              <w:left w:val="nil"/>
              <w:bottom w:val="single" w:sz="4" w:space="0" w:color="auto"/>
              <w:right w:val="nil"/>
            </w:tcBorders>
            <w:shd w:val="clear" w:color="auto" w:fill="auto"/>
            <w:noWrap/>
            <w:vAlign w:val="center"/>
            <w:hideMark/>
          </w:tcPr>
          <w:p w14:paraId="59A8116C" w14:textId="77777777" w:rsidR="0086223C" w:rsidRPr="00C21AFE" w:rsidRDefault="002D0152" w:rsidP="00785889">
            <w:pPr>
              <w:spacing w:after="0" w:line="240" w:lineRule="auto"/>
              <w:jc w:val="center"/>
              <w:rPr>
                <w:rFonts w:ascii="Arial" w:eastAsia="Times New Roman" w:hAnsi="Arial" w:cs="Arial"/>
                <w:bCs/>
                <w:sz w:val="18"/>
                <w:szCs w:val="18"/>
              </w:rPr>
            </w:pPr>
            <w:r w:rsidRPr="002D0152">
              <w:rPr>
                <w:rFonts w:ascii="Arial" w:eastAsia="Times New Roman" w:hAnsi="Arial" w:cs="Arial"/>
                <w:bCs/>
                <w:sz w:val="18"/>
                <w:szCs w:val="18"/>
              </w:rPr>
              <w:t>2 (9.5%)</w:t>
            </w:r>
          </w:p>
        </w:tc>
        <w:tc>
          <w:tcPr>
            <w:tcW w:w="0" w:type="auto"/>
            <w:tcBorders>
              <w:top w:val="nil"/>
              <w:left w:val="nil"/>
              <w:bottom w:val="single" w:sz="4" w:space="0" w:color="auto"/>
              <w:right w:val="nil"/>
            </w:tcBorders>
            <w:shd w:val="clear" w:color="auto" w:fill="auto"/>
            <w:noWrap/>
            <w:vAlign w:val="center"/>
            <w:hideMark/>
          </w:tcPr>
          <w:p w14:paraId="1FB13E9E" w14:textId="77777777" w:rsidR="0086223C" w:rsidRPr="00C21AFE" w:rsidRDefault="002D0152" w:rsidP="00677627">
            <w:pPr>
              <w:spacing w:after="0" w:line="240" w:lineRule="auto"/>
              <w:jc w:val="center"/>
              <w:rPr>
                <w:rFonts w:ascii="Arial" w:eastAsia="Times New Roman" w:hAnsi="Arial" w:cs="Arial"/>
                <w:bCs/>
                <w:sz w:val="18"/>
                <w:szCs w:val="18"/>
              </w:rPr>
            </w:pPr>
            <w:r w:rsidRPr="002D0152">
              <w:rPr>
                <w:rFonts w:ascii="Arial" w:eastAsia="Times New Roman" w:hAnsi="Arial" w:cs="Arial"/>
                <w:bCs/>
                <w:sz w:val="18"/>
                <w:szCs w:val="18"/>
              </w:rPr>
              <w:t>5 (6.9%)</w:t>
            </w:r>
          </w:p>
        </w:tc>
        <w:tc>
          <w:tcPr>
            <w:tcW w:w="0" w:type="auto"/>
            <w:tcBorders>
              <w:top w:val="nil"/>
              <w:left w:val="nil"/>
              <w:bottom w:val="single" w:sz="4" w:space="0" w:color="auto"/>
              <w:right w:val="nil"/>
            </w:tcBorders>
            <w:shd w:val="clear" w:color="auto" w:fill="auto"/>
            <w:noWrap/>
            <w:vAlign w:val="center"/>
            <w:hideMark/>
          </w:tcPr>
          <w:p w14:paraId="6DBBF9D4" w14:textId="77777777" w:rsidR="0086223C" w:rsidRPr="00C21AFE" w:rsidRDefault="002D0152" w:rsidP="00785889">
            <w:pPr>
              <w:spacing w:after="0" w:line="240" w:lineRule="auto"/>
              <w:jc w:val="center"/>
              <w:rPr>
                <w:rFonts w:ascii="Arial" w:eastAsia="Times New Roman" w:hAnsi="Arial" w:cs="Arial"/>
                <w:bCs/>
                <w:sz w:val="18"/>
                <w:szCs w:val="18"/>
              </w:rPr>
            </w:pPr>
            <w:r w:rsidRPr="002D0152">
              <w:rPr>
                <w:rFonts w:ascii="Arial" w:eastAsia="Times New Roman" w:hAnsi="Arial" w:cs="Arial"/>
                <w:bCs/>
                <w:sz w:val="18"/>
                <w:szCs w:val="18"/>
              </w:rPr>
              <w:t>1 (3.8%)</w:t>
            </w:r>
          </w:p>
        </w:tc>
      </w:tr>
      <w:tr w:rsidR="00EB1BB5" w:rsidRPr="00073DB4" w14:paraId="6EC7D24D" w14:textId="77777777" w:rsidTr="00EB1BB5">
        <w:trPr>
          <w:trHeight w:val="300"/>
        </w:trPr>
        <w:tc>
          <w:tcPr>
            <w:tcW w:w="0" w:type="auto"/>
            <w:tcBorders>
              <w:top w:val="nil"/>
              <w:left w:val="nil"/>
              <w:right w:val="nil"/>
            </w:tcBorders>
            <w:vAlign w:val="center"/>
          </w:tcPr>
          <w:p w14:paraId="5486D929" w14:textId="77777777" w:rsidR="0086223C" w:rsidRPr="0086223C" w:rsidRDefault="0086223C" w:rsidP="0086223C">
            <w:pPr>
              <w:spacing w:after="0" w:line="240" w:lineRule="auto"/>
              <w:jc w:val="center"/>
              <w:rPr>
                <w:rFonts w:ascii="Arial" w:eastAsia="Times New Roman" w:hAnsi="Arial" w:cs="Arial"/>
                <w:b/>
                <w:sz w:val="18"/>
                <w:szCs w:val="18"/>
              </w:rPr>
            </w:pPr>
            <w:r w:rsidRPr="0086223C">
              <w:rPr>
                <w:rFonts w:ascii="Arial" w:eastAsia="Times New Roman" w:hAnsi="Arial" w:cs="Arial"/>
                <w:b/>
                <w:sz w:val="18"/>
                <w:szCs w:val="18"/>
              </w:rPr>
              <w:t xml:space="preserve">Wave </w:t>
            </w:r>
            <w:r>
              <w:rPr>
                <w:rFonts w:ascii="Arial" w:eastAsia="Times New Roman" w:hAnsi="Arial" w:cs="Arial"/>
                <w:b/>
                <w:sz w:val="18"/>
                <w:szCs w:val="18"/>
              </w:rPr>
              <w:t>2</w:t>
            </w:r>
          </w:p>
        </w:tc>
        <w:tc>
          <w:tcPr>
            <w:tcW w:w="0" w:type="auto"/>
            <w:tcBorders>
              <w:top w:val="nil"/>
              <w:left w:val="nil"/>
              <w:right w:val="nil"/>
            </w:tcBorders>
            <w:shd w:val="clear" w:color="auto" w:fill="auto"/>
            <w:vAlign w:val="center"/>
            <w:hideMark/>
          </w:tcPr>
          <w:p w14:paraId="5445E125" w14:textId="77777777" w:rsidR="0086223C" w:rsidRPr="0086223C" w:rsidRDefault="0086223C" w:rsidP="00C21AFE">
            <w:pPr>
              <w:spacing w:after="0" w:line="240" w:lineRule="auto"/>
              <w:jc w:val="center"/>
              <w:rPr>
                <w:rFonts w:ascii="Arial" w:eastAsia="Times New Roman" w:hAnsi="Arial" w:cs="Arial"/>
                <w:b/>
                <w:sz w:val="18"/>
                <w:szCs w:val="18"/>
              </w:rPr>
            </w:pPr>
            <w:r w:rsidRPr="0086223C">
              <w:rPr>
                <w:rFonts w:ascii="Arial" w:eastAsia="Times New Roman" w:hAnsi="Arial" w:cs="Arial"/>
                <w:b/>
                <w:sz w:val="18"/>
                <w:szCs w:val="18"/>
              </w:rPr>
              <w:t xml:space="preserve">TSH </w:t>
            </w:r>
          </w:p>
        </w:tc>
        <w:tc>
          <w:tcPr>
            <w:tcW w:w="0" w:type="auto"/>
            <w:tcBorders>
              <w:top w:val="nil"/>
              <w:left w:val="nil"/>
              <w:right w:val="nil"/>
            </w:tcBorders>
            <w:shd w:val="clear" w:color="auto" w:fill="auto"/>
            <w:noWrap/>
            <w:vAlign w:val="center"/>
            <w:hideMark/>
          </w:tcPr>
          <w:p w14:paraId="17DB2DD2" w14:textId="77777777" w:rsidR="0086223C" w:rsidRPr="00A47A26" w:rsidRDefault="00A47A26" w:rsidP="00785889">
            <w:pPr>
              <w:spacing w:after="0" w:line="240" w:lineRule="auto"/>
              <w:jc w:val="center"/>
              <w:rPr>
                <w:rFonts w:ascii="Arial" w:eastAsia="Times New Roman" w:hAnsi="Arial" w:cs="Arial"/>
                <w:bCs/>
                <w:sz w:val="18"/>
                <w:szCs w:val="18"/>
              </w:rPr>
            </w:pPr>
            <w:r w:rsidRPr="00A47A26">
              <w:rPr>
                <w:rFonts w:ascii="Arial" w:eastAsia="Times New Roman" w:hAnsi="Arial" w:cs="Arial"/>
                <w:bCs/>
                <w:sz w:val="18"/>
                <w:szCs w:val="18"/>
              </w:rPr>
              <w:t>N=49/63</w:t>
            </w:r>
          </w:p>
        </w:tc>
        <w:tc>
          <w:tcPr>
            <w:tcW w:w="0" w:type="auto"/>
            <w:tcBorders>
              <w:top w:val="nil"/>
              <w:left w:val="nil"/>
              <w:right w:val="nil"/>
            </w:tcBorders>
            <w:shd w:val="clear" w:color="auto" w:fill="auto"/>
            <w:noWrap/>
            <w:vAlign w:val="center"/>
            <w:hideMark/>
          </w:tcPr>
          <w:p w14:paraId="4E79A1E9" w14:textId="77777777" w:rsidR="0086223C" w:rsidRPr="00A47A26" w:rsidRDefault="001E0FF6" w:rsidP="00785889">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N=</w:t>
            </w:r>
            <w:r w:rsidR="00A47A26">
              <w:rPr>
                <w:rFonts w:ascii="Arial" w:eastAsia="Times New Roman" w:hAnsi="Arial" w:cs="Arial"/>
                <w:bCs/>
                <w:sz w:val="18"/>
                <w:szCs w:val="18"/>
              </w:rPr>
              <w:t>17</w:t>
            </w:r>
            <w:r>
              <w:rPr>
                <w:rFonts w:ascii="Arial" w:eastAsia="Times New Roman" w:hAnsi="Arial" w:cs="Arial"/>
                <w:bCs/>
                <w:sz w:val="18"/>
                <w:szCs w:val="18"/>
              </w:rPr>
              <w:t>/22</w:t>
            </w:r>
          </w:p>
        </w:tc>
        <w:tc>
          <w:tcPr>
            <w:tcW w:w="0" w:type="auto"/>
            <w:tcBorders>
              <w:top w:val="nil"/>
              <w:left w:val="nil"/>
              <w:right w:val="nil"/>
            </w:tcBorders>
            <w:shd w:val="clear" w:color="auto" w:fill="auto"/>
            <w:noWrap/>
            <w:vAlign w:val="center"/>
            <w:hideMark/>
          </w:tcPr>
          <w:p w14:paraId="2B455292" w14:textId="77777777" w:rsidR="0086223C" w:rsidRPr="00A47A26" w:rsidRDefault="001E0FF6" w:rsidP="00785889">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N=</w:t>
            </w:r>
            <w:r w:rsidR="00A47A26">
              <w:rPr>
                <w:rFonts w:ascii="Arial" w:eastAsia="Times New Roman" w:hAnsi="Arial" w:cs="Arial"/>
                <w:bCs/>
                <w:sz w:val="18"/>
                <w:szCs w:val="18"/>
              </w:rPr>
              <w:t>63</w:t>
            </w:r>
            <w:r>
              <w:rPr>
                <w:rFonts w:ascii="Arial" w:eastAsia="Times New Roman" w:hAnsi="Arial" w:cs="Arial"/>
                <w:bCs/>
                <w:sz w:val="18"/>
                <w:szCs w:val="18"/>
              </w:rPr>
              <w:t>/63</w:t>
            </w:r>
          </w:p>
        </w:tc>
        <w:tc>
          <w:tcPr>
            <w:tcW w:w="0" w:type="auto"/>
            <w:tcBorders>
              <w:top w:val="nil"/>
              <w:left w:val="nil"/>
              <w:right w:val="nil"/>
            </w:tcBorders>
            <w:shd w:val="clear" w:color="auto" w:fill="auto"/>
            <w:noWrap/>
            <w:vAlign w:val="center"/>
            <w:hideMark/>
          </w:tcPr>
          <w:p w14:paraId="1D7D663C" w14:textId="77777777" w:rsidR="0086223C" w:rsidRPr="00A47A26" w:rsidRDefault="001E0FF6" w:rsidP="00785889">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N=</w:t>
            </w:r>
            <w:r w:rsidR="00A47A26">
              <w:rPr>
                <w:rFonts w:ascii="Arial" w:eastAsia="Times New Roman" w:hAnsi="Arial" w:cs="Arial"/>
                <w:bCs/>
                <w:sz w:val="18"/>
                <w:szCs w:val="18"/>
              </w:rPr>
              <w:t>22</w:t>
            </w:r>
            <w:r>
              <w:rPr>
                <w:rFonts w:ascii="Arial" w:eastAsia="Times New Roman" w:hAnsi="Arial" w:cs="Arial"/>
                <w:bCs/>
                <w:sz w:val="18"/>
                <w:szCs w:val="18"/>
              </w:rPr>
              <w:t>/22</w:t>
            </w:r>
          </w:p>
        </w:tc>
      </w:tr>
      <w:tr w:rsidR="00EB1BB5" w:rsidRPr="00073DB4" w14:paraId="5B6B38DD" w14:textId="77777777" w:rsidTr="00EB1BB5">
        <w:trPr>
          <w:trHeight w:val="300"/>
        </w:trPr>
        <w:tc>
          <w:tcPr>
            <w:tcW w:w="0" w:type="auto"/>
            <w:tcBorders>
              <w:top w:val="nil"/>
              <w:left w:val="nil"/>
              <w:right w:val="nil"/>
            </w:tcBorders>
            <w:vAlign w:val="center"/>
          </w:tcPr>
          <w:p w14:paraId="02DBD142" w14:textId="77777777" w:rsidR="0086223C" w:rsidRDefault="0086223C" w:rsidP="00785889">
            <w:pPr>
              <w:spacing w:after="0" w:line="240" w:lineRule="auto"/>
              <w:jc w:val="center"/>
              <w:rPr>
                <w:rFonts w:ascii="Arial" w:eastAsia="Times New Roman" w:hAnsi="Arial" w:cs="Arial"/>
                <w:sz w:val="18"/>
                <w:szCs w:val="18"/>
              </w:rPr>
            </w:pPr>
          </w:p>
        </w:tc>
        <w:tc>
          <w:tcPr>
            <w:tcW w:w="0" w:type="auto"/>
            <w:tcBorders>
              <w:top w:val="nil"/>
              <w:left w:val="nil"/>
              <w:right w:val="nil"/>
            </w:tcBorders>
            <w:shd w:val="clear" w:color="auto" w:fill="auto"/>
            <w:vAlign w:val="center"/>
            <w:hideMark/>
          </w:tcPr>
          <w:p w14:paraId="45F77910" w14:textId="77777777" w:rsidR="0086223C" w:rsidRPr="00073DB4" w:rsidRDefault="00A47A26" w:rsidP="00785889">
            <w:pPr>
              <w:spacing w:after="0" w:line="240" w:lineRule="auto"/>
              <w:jc w:val="center"/>
              <w:rPr>
                <w:rFonts w:ascii="Arial" w:eastAsia="Times New Roman" w:hAnsi="Arial" w:cs="Arial"/>
                <w:sz w:val="18"/>
                <w:szCs w:val="18"/>
              </w:rPr>
            </w:pPr>
            <w:proofErr w:type="spellStart"/>
            <w:r>
              <w:rPr>
                <w:rFonts w:ascii="Arial" w:eastAsia="Times New Roman" w:hAnsi="Arial" w:cs="Arial"/>
                <w:sz w:val="18"/>
                <w:szCs w:val="18"/>
              </w:rPr>
              <w:t>mU</w:t>
            </w:r>
            <w:proofErr w:type="spellEnd"/>
            <w:r>
              <w:rPr>
                <w:rFonts w:ascii="Arial" w:eastAsia="Times New Roman" w:hAnsi="Arial" w:cs="Arial"/>
                <w:sz w:val="18"/>
                <w:szCs w:val="18"/>
              </w:rPr>
              <w:t>/L</w:t>
            </w:r>
            <w:r w:rsidR="008465C0">
              <w:rPr>
                <w:rFonts w:ascii="Arial" w:eastAsia="Times New Roman" w:hAnsi="Arial" w:cs="Arial"/>
                <w:sz w:val="18"/>
                <w:szCs w:val="18"/>
              </w:rPr>
              <w:t xml:space="preserve"> (median, IQR)</w:t>
            </w:r>
          </w:p>
        </w:tc>
        <w:tc>
          <w:tcPr>
            <w:tcW w:w="0" w:type="auto"/>
            <w:tcBorders>
              <w:top w:val="nil"/>
              <w:left w:val="nil"/>
              <w:right w:val="nil"/>
            </w:tcBorders>
            <w:shd w:val="clear" w:color="auto" w:fill="auto"/>
            <w:noWrap/>
            <w:vAlign w:val="center"/>
            <w:hideMark/>
          </w:tcPr>
          <w:p w14:paraId="41EC3B79" w14:textId="77777777" w:rsidR="0086223C" w:rsidRPr="00A47A26" w:rsidRDefault="00A47A26" w:rsidP="00785889">
            <w:pPr>
              <w:spacing w:after="0" w:line="240" w:lineRule="auto"/>
              <w:jc w:val="center"/>
              <w:rPr>
                <w:rFonts w:ascii="Arial" w:eastAsia="Times New Roman" w:hAnsi="Arial" w:cs="Arial"/>
                <w:bCs/>
                <w:sz w:val="18"/>
                <w:szCs w:val="18"/>
              </w:rPr>
            </w:pPr>
            <w:r w:rsidRPr="00A47A26">
              <w:rPr>
                <w:rFonts w:ascii="Arial" w:eastAsia="Times New Roman" w:hAnsi="Arial" w:cs="Arial"/>
                <w:bCs/>
                <w:sz w:val="18"/>
                <w:szCs w:val="18"/>
              </w:rPr>
              <w:t>1.50</w:t>
            </w:r>
            <w:r w:rsidR="00EB1BB5">
              <w:rPr>
                <w:rFonts w:ascii="Arial" w:eastAsia="Times New Roman" w:hAnsi="Arial" w:cs="Arial"/>
                <w:bCs/>
                <w:sz w:val="18"/>
                <w:szCs w:val="18"/>
              </w:rPr>
              <w:t xml:space="preserve"> (1.04</w:t>
            </w:r>
            <w:r w:rsidR="008465C0">
              <w:rPr>
                <w:rFonts w:ascii="Arial" w:eastAsia="Times New Roman" w:hAnsi="Arial" w:cs="Arial"/>
                <w:bCs/>
                <w:sz w:val="18"/>
                <w:szCs w:val="18"/>
              </w:rPr>
              <w:t>–2.30)</w:t>
            </w:r>
          </w:p>
        </w:tc>
        <w:tc>
          <w:tcPr>
            <w:tcW w:w="0" w:type="auto"/>
            <w:tcBorders>
              <w:top w:val="nil"/>
              <w:left w:val="nil"/>
              <w:right w:val="nil"/>
            </w:tcBorders>
            <w:shd w:val="clear" w:color="auto" w:fill="auto"/>
            <w:noWrap/>
            <w:vAlign w:val="center"/>
            <w:hideMark/>
          </w:tcPr>
          <w:p w14:paraId="1EB26794" w14:textId="77777777" w:rsidR="0086223C" w:rsidRPr="00A47A26" w:rsidRDefault="00A47A26" w:rsidP="00785889">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1.50</w:t>
            </w:r>
            <w:r w:rsidR="00EB1BB5">
              <w:rPr>
                <w:rFonts w:ascii="Arial" w:eastAsia="Times New Roman" w:hAnsi="Arial" w:cs="Arial"/>
                <w:bCs/>
                <w:sz w:val="18"/>
                <w:szCs w:val="18"/>
              </w:rPr>
              <w:t xml:space="preserve"> (1.15 – 2.05)</w:t>
            </w:r>
          </w:p>
        </w:tc>
        <w:tc>
          <w:tcPr>
            <w:tcW w:w="0" w:type="auto"/>
            <w:tcBorders>
              <w:top w:val="nil"/>
              <w:left w:val="nil"/>
              <w:right w:val="nil"/>
            </w:tcBorders>
            <w:shd w:val="clear" w:color="auto" w:fill="auto"/>
            <w:noWrap/>
            <w:vAlign w:val="center"/>
            <w:hideMark/>
          </w:tcPr>
          <w:p w14:paraId="3D3C4B58" w14:textId="77777777" w:rsidR="0086223C" w:rsidRPr="00A47A26" w:rsidRDefault="00A47A26" w:rsidP="00785889">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1.40</w:t>
            </w:r>
            <w:r w:rsidR="00EB1BB5">
              <w:rPr>
                <w:rFonts w:ascii="Arial" w:eastAsia="Times New Roman" w:hAnsi="Arial" w:cs="Arial"/>
                <w:bCs/>
                <w:sz w:val="18"/>
                <w:szCs w:val="18"/>
              </w:rPr>
              <w:t xml:space="preserve"> (0.97-2.30)</w:t>
            </w:r>
          </w:p>
        </w:tc>
        <w:tc>
          <w:tcPr>
            <w:tcW w:w="0" w:type="auto"/>
            <w:tcBorders>
              <w:top w:val="nil"/>
              <w:left w:val="nil"/>
              <w:right w:val="nil"/>
            </w:tcBorders>
            <w:shd w:val="clear" w:color="auto" w:fill="auto"/>
            <w:noWrap/>
            <w:vAlign w:val="center"/>
            <w:hideMark/>
          </w:tcPr>
          <w:p w14:paraId="4D2339BF" w14:textId="77777777" w:rsidR="0086223C" w:rsidRPr="00A47A26" w:rsidRDefault="00A47A26" w:rsidP="00785889">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1.65</w:t>
            </w:r>
            <w:r w:rsidR="00EB1BB5">
              <w:rPr>
                <w:rFonts w:ascii="Arial" w:eastAsia="Times New Roman" w:hAnsi="Arial" w:cs="Arial"/>
                <w:bCs/>
                <w:sz w:val="18"/>
                <w:szCs w:val="18"/>
              </w:rPr>
              <w:t xml:space="preserve"> (1.00-1.90)</w:t>
            </w:r>
          </w:p>
        </w:tc>
      </w:tr>
      <w:tr w:rsidR="00EB1BB5" w:rsidRPr="00073DB4" w14:paraId="78689574" w14:textId="77777777" w:rsidTr="00EB1BB5">
        <w:trPr>
          <w:trHeight w:val="300"/>
        </w:trPr>
        <w:tc>
          <w:tcPr>
            <w:tcW w:w="0" w:type="auto"/>
            <w:tcBorders>
              <w:top w:val="nil"/>
              <w:left w:val="nil"/>
              <w:right w:val="nil"/>
            </w:tcBorders>
            <w:vAlign w:val="center"/>
          </w:tcPr>
          <w:p w14:paraId="3B716661" w14:textId="77777777" w:rsidR="001E0FF6" w:rsidRDefault="001E0FF6" w:rsidP="00785889">
            <w:pPr>
              <w:spacing w:after="0" w:line="240" w:lineRule="auto"/>
              <w:jc w:val="center"/>
              <w:rPr>
                <w:rFonts w:ascii="Arial" w:eastAsia="Times New Roman" w:hAnsi="Arial" w:cs="Arial"/>
                <w:sz w:val="18"/>
                <w:szCs w:val="18"/>
              </w:rPr>
            </w:pPr>
          </w:p>
        </w:tc>
        <w:tc>
          <w:tcPr>
            <w:tcW w:w="0" w:type="auto"/>
            <w:tcBorders>
              <w:top w:val="nil"/>
              <w:left w:val="nil"/>
              <w:right w:val="nil"/>
            </w:tcBorders>
            <w:shd w:val="clear" w:color="auto" w:fill="auto"/>
            <w:vAlign w:val="center"/>
            <w:hideMark/>
          </w:tcPr>
          <w:p w14:paraId="087166E4" w14:textId="77777777" w:rsidR="001E0FF6" w:rsidRPr="0086223C" w:rsidRDefault="00121873" w:rsidP="00C21AFE">
            <w:pPr>
              <w:spacing w:after="0" w:line="240" w:lineRule="auto"/>
              <w:jc w:val="center"/>
              <w:rPr>
                <w:rFonts w:ascii="Arial" w:eastAsia="Times New Roman" w:hAnsi="Arial" w:cs="Arial"/>
                <w:b/>
                <w:sz w:val="18"/>
                <w:szCs w:val="18"/>
              </w:rPr>
            </w:pPr>
            <w:r>
              <w:rPr>
                <w:rFonts w:ascii="Arial" w:eastAsia="Times New Roman" w:hAnsi="Arial" w:cs="Arial"/>
                <w:b/>
                <w:sz w:val="18"/>
                <w:szCs w:val="18"/>
              </w:rPr>
              <w:t xml:space="preserve">free </w:t>
            </w:r>
            <w:r w:rsidR="001E0FF6" w:rsidRPr="0086223C">
              <w:rPr>
                <w:rFonts w:ascii="Arial" w:eastAsia="Times New Roman" w:hAnsi="Arial" w:cs="Arial"/>
                <w:b/>
                <w:sz w:val="18"/>
                <w:szCs w:val="18"/>
              </w:rPr>
              <w:t xml:space="preserve">T4 </w:t>
            </w:r>
          </w:p>
        </w:tc>
        <w:tc>
          <w:tcPr>
            <w:tcW w:w="0" w:type="auto"/>
            <w:tcBorders>
              <w:top w:val="nil"/>
              <w:left w:val="nil"/>
              <w:right w:val="nil"/>
            </w:tcBorders>
            <w:shd w:val="clear" w:color="auto" w:fill="auto"/>
            <w:noWrap/>
            <w:vAlign w:val="center"/>
            <w:hideMark/>
          </w:tcPr>
          <w:p w14:paraId="0184EF88" w14:textId="77777777" w:rsidR="001E0FF6" w:rsidRPr="00A47A26" w:rsidRDefault="001E0FF6" w:rsidP="00785889">
            <w:pPr>
              <w:spacing w:after="0" w:line="240" w:lineRule="auto"/>
              <w:jc w:val="center"/>
              <w:rPr>
                <w:rFonts w:ascii="Arial" w:eastAsia="Times New Roman" w:hAnsi="Arial" w:cs="Arial"/>
                <w:bCs/>
                <w:sz w:val="18"/>
                <w:szCs w:val="18"/>
              </w:rPr>
            </w:pPr>
            <w:r w:rsidRPr="00A47A26">
              <w:rPr>
                <w:rFonts w:ascii="Arial" w:eastAsia="Times New Roman" w:hAnsi="Arial" w:cs="Arial"/>
                <w:bCs/>
                <w:sz w:val="18"/>
                <w:szCs w:val="18"/>
              </w:rPr>
              <w:t>N=49/63</w:t>
            </w:r>
          </w:p>
        </w:tc>
        <w:tc>
          <w:tcPr>
            <w:tcW w:w="0" w:type="auto"/>
            <w:tcBorders>
              <w:top w:val="nil"/>
              <w:left w:val="nil"/>
              <w:right w:val="nil"/>
            </w:tcBorders>
            <w:shd w:val="clear" w:color="auto" w:fill="auto"/>
            <w:noWrap/>
            <w:vAlign w:val="center"/>
            <w:hideMark/>
          </w:tcPr>
          <w:p w14:paraId="63E5D872" w14:textId="77777777" w:rsidR="001E0FF6" w:rsidRPr="00A47A26" w:rsidRDefault="001E0FF6" w:rsidP="00785889">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N=17/22</w:t>
            </w:r>
          </w:p>
        </w:tc>
        <w:tc>
          <w:tcPr>
            <w:tcW w:w="0" w:type="auto"/>
            <w:tcBorders>
              <w:top w:val="nil"/>
              <w:left w:val="nil"/>
              <w:right w:val="nil"/>
            </w:tcBorders>
            <w:shd w:val="clear" w:color="auto" w:fill="auto"/>
            <w:noWrap/>
            <w:vAlign w:val="center"/>
            <w:hideMark/>
          </w:tcPr>
          <w:p w14:paraId="03AD756B" w14:textId="77777777" w:rsidR="001E0FF6" w:rsidRPr="00A47A26" w:rsidRDefault="001E0FF6" w:rsidP="00785889">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N=63/63</w:t>
            </w:r>
          </w:p>
        </w:tc>
        <w:tc>
          <w:tcPr>
            <w:tcW w:w="0" w:type="auto"/>
            <w:tcBorders>
              <w:top w:val="nil"/>
              <w:left w:val="nil"/>
              <w:right w:val="nil"/>
            </w:tcBorders>
            <w:shd w:val="clear" w:color="auto" w:fill="auto"/>
            <w:noWrap/>
            <w:vAlign w:val="center"/>
            <w:hideMark/>
          </w:tcPr>
          <w:p w14:paraId="307E4D4F" w14:textId="77777777" w:rsidR="001E0FF6" w:rsidRPr="00A47A26" w:rsidRDefault="001E0FF6" w:rsidP="00785889">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N=22/22</w:t>
            </w:r>
          </w:p>
        </w:tc>
      </w:tr>
      <w:tr w:rsidR="00EB1BB5" w:rsidRPr="00073DB4" w14:paraId="623B2A25" w14:textId="77777777" w:rsidTr="00EB1BB5">
        <w:trPr>
          <w:trHeight w:val="300"/>
        </w:trPr>
        <w:tc>
          <w:tcPr>
            <w:tcW w:w="0" w:type="auto"/>
            <w:tcBorders>
              <w:top w:val="nil"/>
              <w:left w:val="nil"/>
              <w:right w:val="nil"/>
            </w:tcBorders>
            <w:vAlign w:val="center"/>
          </w:tcPr>
          <w:p w14:paraId="5F3A8776" w14:textId="77777777" w:rsidR="0086223C" w:rsidRPr="0086223C" w:rsidRDefault="0086223C" w:rsidP="00785889">
            <w:pPr>
              <w:spacing w:after="0" w:line="240" w:lineRule="auto"/>
              <w:jc w:val="center"/>
              <w:rPr>
                <w:rFonts w:ascii="Arial" w:eastAsia="Times New Roman" w:hAnsi="Arial" w:cs="Arial"/>
                <w:sz w:val="18"/>
                <w:szCs w:val="18"/>
              </w:rPr>
            </w:pPr>
          </w:p>
        </w:tc>
        <w:tc>
          <w:tcPr>
            <w:tcW w:w="0" w:type="auto"/>
            <w:tcBorders>
              <w:top w:val="nil"/>
              <w:left w:val="nil"/>
              <w:right w:val="nil"/>
            </w:tcBorders>
            <w:shd w:val="clear" w:color="auto" w:fill="auto"/>
            <w:vAlign w:val="center"/>
            <w:hideMark/>
          </w:tcPr>
          <w:p w14:paraId="636BB1AD" w14:textId="77777777" w:rsidR="0086223C" w:rsidRPr="0086223C" w:rsidRDefault="00A47A26" w:rsidP="00785889">
            <w:pPr>
              <w:spacing w:after="0" w:line="240" w:lineRule="auto"/>
              <w:jc w:val="center"/>
              <w:rPr>
                <w:rFonts w:ascii="Arial" w:eastAsia="Times New Roman" w:hAnsi="Arial" w:cs="Arial"/>
                <w:sz w:val="18"/>
                <w:szCs w:val="18"/>
              </w:rPr>
            </w:pPr>
            <w:proofErr w:type="spellStart"/>
            <w:r>
              <w:rPr>
                <w:rFonts w:ascii="Arial" w:eastAsia="Times New Roman" w:hAnsi="Arial" w:cs="Arial"/>
                <w:sz w:val="18"/>
                <w:szCs w:val="18"/>
              </w:rPr>
              <w:t>pmol</w:t>
            </w:r>
            <w:proofErr w:type="spellEnd"/>
            <w:r>
              <w:rPr>
                <w:rFonts w:ascii="Arial" w:eastAsia="Times New Roman" w:hAnsi="Arial" w:cs="Arial"/>
                <w:sz w:val="18"/>
                <w:szCs w:val="18"/>
              </w:rPr>
              <w:t>/L</w:t>
            </w:r>
            <w:r w:rsidR="008465C0">
              <w:rPr>
                <w:rFonts w:ascii="Arial" w:eastAsia="Times New Roman" w:hAnsi="Arial" w:cs="Arial"/>
                <w:sz w:val="18"/>
                <w:szCs w:val="18"/>
              </w:rPr>
              <w:t xml:space="preserve"> (median, IQR)</w:t>
            </w:r>
          </w:p>
        </w:tc>
        <w:tc>
          <w:tcPr>
            <w:tcW w:w="0" w:type="auto"/>
            <w:tcBorders>
              <w:top w:val="nil"/>
              <w:left w:val="nil"/>
              <w:right w:val="nil"/>
            </w:tcBorders>
            <w:shd w:val="clear" w:color="auto" w:fill="auto"/>
            <w:noWrap/>
            <w:vAlign w:val="center"/>
            <w:hideMark/>
          </w:tcPr>
          <w:p w14:paraId="358C24B2" w14:textId="77777777" w:rsidR="0086223C" w:rsidRPr="00A47A26" w:rsidRDefault="00A47A26" w:rsidP="00785889">
            <w:pPr>
              <w:spacing w:after="0" w:line="240" w:lineRule="auto"/>
              <w:jc w:val="center"/>
              <w:rPr>
                <w:rFonts w:ascii="Arial" w:eastAsia="Times New Roman" w:hAnsi="Arial" w:cs="Arial"/>
                <w:bCs/>
                <w:sz w:val="18"/>
                <w:szCs w:val="18"/>
              </w:rPr>
            </w:pPr>
            <w:r w:rsidRPr="00A47A26">
              <w:rPr>
                <w:rFonts w:ascii="Arial" w:eastAsia="Times New Roman" w:hAnsi="Arial" w:cs="Arial"/>
                <w:bCs/>
                <w:sz w:val="18"/>
                <w:szCs w:val="18"/>
              </w:rPr>
              <w:t>13.0</w:t>
            </w:r>
            <w:r w:rsidR="00EB1BB5">
              <w:rPr>
                <w:rFonts w:ascii="Arial" w:eastAsia="Times New Roman" w:hAnsi="Arial" w:cs="Arial"/>
                <w:bCs/>
                <w:sz w:val="18"/>
                <w:szCs w:val="18"/>
              </w:rPr>
              <w:t xml:space="preserve"> (12.0</w:t>
            </w:r>
            <w:r w:rsidR="008465C0">
              <w:rPr>
                <w:rFonts w:ascii="Arial" w:eastAsia="Times New Roman" w:hAnsi="Arial" w:cs="Arial"/>
                <w:bCs/>
                <w:sz w:val="18"/>
                <w:szCs w:val="18"/>
              </w:rPr>
              <w:t>–14.</w:t>
            </w:r>
            <w:r w:rsidR="00EB1BB5">
              <w:rPr>
                <w:rFonts w:ascii="Arial" w:eastAsia="Times New Roman" w:hAnsi="Arial" w:cs="Arial"/>
                <w:bCs/>
                <w:sz w:val="18"/>
                <w:szCs w:val="18"/>
              </w:rPr>
              <w:t>0</w:t>
            </w:r>
            <w:r w:rsidR="008465C0">
              <w:rPr>
                <w:rFonts w:ascii="Arial" w:eastAsia="Times New Roman" w:hAnsi="Arial" w:cs="Arial"/>
                <w:bCs/>
                <w:sz w:val="18"/>
                <w:szCs w:val="18"/>
              </w:rPr>
              <w:t>)</w:t>
            </w:r>
          </w:p>
        </w:tc>
        <w:tc>
          <w:tcPr>
            <w:tcW w:w="0" w:type="auto"/>
            <w:tcBorders>
              <w:top w:val="nil"/>
              <w:left w:val="nil"/>
              <w:right w:val="nil"/>
            </w:tcBorders>
            <w:shd w:val="clear" w:color="auto" w:fill="auto"/>
            <w:noWrap/>
            <w:vAlign w:val="center"/>
            <w:hideMark/>
          </w:tcPr>
          <w:p w14:paraId="5C689B40" w14:textId="77777777" w:rsidR="0086223C" w:rsidRPr="00A47A26" w:rsidRDefault="00A47A26" w:rsidP="00785889">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13</w:t>
            </w:r>
            <w:r w:rsidR="001E0FF6">
              <w:rPr>
                <w:rFonts w:ascii="Arial" w:eastAsia="Times New Roman" w:hAnsi="Arial" w:cs="Arial"/>
                <w:bCs/>
                <w:sz w:val="18"/>
                <w:szCs w:val="18"/>
              </w:rPr>
              <w:t>.0</w:t>
            </w:r>
            <w:r w:rsidR="00EB1BB5">
              <w:rPr>
                <w:rFonts w:ascii="Arial" w:eastAsia="Times New Roman" w:hAnsi="Arial" w:cs="Arial"/>
                <w:bCs/>
                <w:sz w:val="18"/>
                <w:szCs w:val="18"/>
              </w:rPr>
              <w:t xml:space="preserve"> (12.0-14.5)</w:t>
            </w:r>
          </w:p>
        </w:tc>
        <w:tc>
          <w:tcPr>
            <w:tcW w:w="0" w:type="auto"/>
            <w:tcBorders>
              <w:top w:val="nil"/>
              <w:left w:val="nil"/>
              <w:right w:val="nil"/>
            </w:tcBorders>
            <w:shd w:val="clear" w:color="auto" w:fill="auto"/>
            <w:noWrap/>
            <w:vAlign w:val="center"/>
            <w:hideMark/>
          </w:tcPr>
          <w:p w14:paraId="3418D73E" w14:textId="77777777" w:rsidR="0086223C" w:rsidRPr="00A47A26" w:rsidRDefault="00A47A26" w:rsidP="00785889">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13</w:t>
            </w:r>
            <w:r w:rsidR="001E0FF6">
              <w:rPr>
                <w:rFonts w:ascii="Arial" w:eastAsia="Times New Roman" w:hAnsi="Arial" w:cs="Arial"/>
                <w:bCs/>
                <w:sz w:val="18"/>
                <w:szCs w:val="18"/>
              </w:rPr>
              <w:t>.0</w:t>
            </w:r>
            <w:r w:rsidR="00EB1BB5">
              <w:rPr>
                <w:rFonts w:ascii="Arial" w:eastAsia="Times New Roman" w:hAnsi="Arial" w:cs="Arial"/>
                <w:bCs/>
                <w:sz w:val="18"/>
                <w:szCs w:val="18"/>
              </w:rPr>
              <w:t xml:space="preserve"> (12.0-14.0)</w:t>
            </w:r>
          </w:p>
        </w:tc>
        <w:tc>
          <w:tcPr>
            <w:tcW w:w="0" w:type="auto"/>
            <w:tcBorders>
              <w:top w:val="nil"/>
              <w:left w:val="nil"/>
              <w:right w:val="nil"/>
            </w:tcBorders>
            <w:shd w:val="clear" w:color="auto" w:fill="auto"/>
            <w:noWrap/>
            <w:vAlign w:val="center"/>
            <w:hideMark/>
          </w:tcPr>
          <w:p w14:paraId="38063C11" w14:textId="77777777" w:rsidR="0086223C" w:rsidRPr="00A47A26" w:rsidRDefault="00A47A26" w:rsidP="00785889">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12.5</w:t>
            </w:r>
            <w:r w:rsidR="00EB1BB5">
              <w:rPr>
                <w:rFonts w:ascii="Arial" w:eastAsia="Times New Roman" w:hAnsi="Arial" w:cs="Arial"/>
                <w:bCs/>
                <w:sz w:val="18"/>
                <w:szCs w:val="18"/>
              </w:rPr>
              <w:t xml:space="preserve"> (11-14.25)</w:t>
            </w:r>
          </w:p>
        </w:tc>
      </w:tr>
      <w:tr w:rsidR="00EB1BB5" w:rsidRPr="00073DB4" w14:paraId="09CC96D0" w14:textId="77777777" w:rsidTr="00EB1BB5">
        <w:trPr>
          <w:trHeight w:val="300"/>
        </w:trPr>
        <w:tc>
          <w:tcPr>
            <w:tcW w:w="0" w:type="auto"/>
            <w:tcBorders>
              <w:top w:val="nil"/>
              <w:left w:val="nil"/>
              <w:right w:val="nil"/>
            </w:tcBorders>
            <w:vAlign w:val="center"/>
          </w:tcPr>
          <w:p w14:paraId="12CCC2B5" w14:textId="77777777" w:rsidR="0086223C" w:rsidRDefault="0086223C" w:rsidP="00785889">
            <w:pPr>
              <w:spacing w:after="0" w:line="240" w:lineRule="auto"/>
              <w:jc w:val="center"/>
              <w:rPr>
                <w:rFonts w:ascii="Arial" w:eastAsia="Times New Roman" w:hAnsi="Arial" w:cs="Arial"/>
                <w:sz w:val="18"/>
                <w:szCs w:val="18"/>
              </w:rPr>
            </w:pPr>
          </w:p>
        </w:tc>
        <w:tc>
          <w:tcPr>
            <w:tcW w:w="0" w:type="auto"/>
            <w:tcBorders>
              <w:top w:val="nil"/>
              <w:left w:val="nil"/>
              <w:right w:val="nil"/>
            </w:tcBorders>
            <w:shd w:val="clear" w:color="auto" w:fill="auto"/>
            <w:vAlign w:val="center"/>
            <w:hideMark/>
          </w:tcPr>
          <w:p w14:paraId="5456577E" w14:textId="77777777" w:rsidR="0086223C" w:rsidRPr="00073DB4" w:rsidRDefault="0086223C" w:rsidP="001E0FF6">
            <w:pPr>
              <w:spacing w:after="0" w:line="240" w:lineRule="auto"/>
              <w:jc w:val="center"/>
              <w:rPr>
                <w:rFonts w:ascii="Arial" w:eastAsia="Times New Roman" w:hAnsi="Arial" w:cs="Arial"/>
                <w:sz w:val="18"/>
                <w:szCs w:val="18"/>
              </w:rPr>
            </w:pPr>
            <w:r>
              <w:rPr>
                <w:rFonts w:ascii="Arial" w:eastAsia="Times New Roman" w:hAnsi="Arial" w:cs="Arial"/>
                <w:sz w:val="18"/>
                <w:szCs w:val="18"/>
              </w:rPr>
              <w:t>Overt hypothyroidism</w:t>
            </w:r>
            <w:r w:rsidR="001E0FF6" w:rsidRPr="001E0FF6">
              <w:rPr>
                <w:rFonts w:ascii="Arial" w:eastAsia="Times New Roman" w:hAnsi="Arial" w:cs="Arial"/>
                <w:sz w:val="18"/>
                <w:szCs w:val="18"/>
                <w:vertAlign w:val="superscript"/>
              </w:rPr>
              <w:t>†</w:t>
            </w:r>
            <w:r w:rsidR="00C21AFE">
              <w:rPr>
                <w:rFonts w:ascii="Arial" w:eastAsia="Times New Roman" w:hAnsi="Arial" w:cs="Arial"/>
                <w:sz w:val="18"/>
                <w:szCs w:val="18"/>
                <w:vertAlign w:val="superscript"/>
              </w:rPr>
              <w:t xml:space="preserve"> </w:t>
            </w:r>
            <w:proofErr w:type="gramStart"/>
            <w:r w:rsidR="002D0152" w:rsidRPr="002D0152">
              <w:rPr>
                <w:rFonts w:ascii="Arial" w:eastAsia="Times New Roman" w:hAnsi="Arial" w:cs="Arial"/>
                <w:sz w:val="18"/>
                <w:szCs w:val="18"/>
              </w:rPr>
              <w:t>n(</w:t>
            </w:r>
            <w:proofErr w:type="gramEnd"/>
            <w:r w:rsidR="002D0152" w:rsidRPr="002D0152">
              <w:rPr>
                <w:rFonts w:ascii="Arial" w:eastAsia="Times New Roman" w:hAnsi="Arial" w:cs="Arial"/>
                <w:sz w:val="18"/>
                <w:szCs w:val="18"/>
              </w:rPr>
              <w:t>%)</w:t>
            </w:r>
          </w:p>
        </w:tc>
        <w:tc>
          <w:tcPr>
            <w:tcW w:w="0" w:type="auto"/>
            <w:tcBorders>
              <w:top w:val="nil"/>
              <w:left w:val="nil"/>
              <w:right w:val="nil"/>
            </w:tcBorders>
            <w:shd w:val="clear" w:color="auto" w:fill="auto"/>
            <w:noWrap/>
            <w:vAlign w:val="center"/>
            <w:hideMark/>
          </w:tcPr>
          <w:p w14:paraId="0F677064" w14:textId="77777777" w:rsidR="0086223C" w:rsidRPr="00A47A26" w:rsidRDefault="00677627" w:rsidP="00785889">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0 (0%)</w:t>
            </w:r>
          </w:p>
        </w:tc>
        <w:tc>
          <w:tcPr>
            <w:tcW w:w="0" w:type="auto"/>
            <w:tcBorders>
              <w:top w:val="nil"/>
              <w:left w:val="nil"/>
              <w:right w:val="nil"/>
            </w:tcBorders>
            <w:shd w:val="clear" w:color="auto" w:fill="auto"/>
            <w:noWrap/>
            <w:vAlign w:val="center"/>
            <w:hideMark/>
          </w:tcPr>
          <w:p w14:paraId="0E4F6A39" w14:textId="77777777" w:rsidR="0086223C" w:rsidRPr="00A47A26" w:rsidRDefault="00677627" w:rsidP="00785889">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0 (0%)</w:t>
            </w:r>
          </w:p>
        </w:tc>
        <w:tc>
          <w:tcPr>
            <w:tcW w:w="0" w:type="auto"/>
            <w:tcBorders>
              <w:top w:val="nil"/>
              <w:left w:val="nil"/>
              <w:right w:val="nil"/>
            </w:tcBorders>
            <w:shd w:val="clear" w:color="auto" w:fill="auto"/>
            <w:noWrap/>
            <w:vAlign w:val="center"/>
            <w:hideMark/>
          </w:tcPr>
          <w:p w14:paraId="17AAC189" w14:textId="77777777" w:rsidR="0086223C" w:rsidRPr="00A47A26" w:rsidRDefault="00677627" w:rsidP="00785889">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0 (0%)</w:t>
            </w:r>
          </w:p>
        </w:tc>
        <w:tc>
          <w:tcPr>
            <w:tcW w:w="0" w:type="auto"/>
            <w:tcBorders>
              <w:top w:val="nil"/>
              <w:left w:val="nil"/>
              <w:right w:val="nil"/>
            </w:tcBorders>
            <w:shd w:val="clear" w:color="auto" w:fill="auto"/>
            <w:noWrap/>
            <w:vAlign w:val="center"/>
            <w:hideMark/>
          </w:tcPr>
          <w:p w14:paraId="0CCF5A6C" w14:textId="77777777" w:rsidR="0086223C" w:rsidRPr="00A47A26" w:rsidRDefault="00677627" w:rsidP="00785889">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1 (3.8%)</w:t>
            </w:r>
          </w:p>
        </w:tc>
      </w:tr>
      <w:tr w:rsidR="00EB1BB5" w:rsidRPr="00073DB4" w14:paraId="00537430" w14:textId="77777777" w:rsidTr="00EB1BB5">
        <w:trPr>
          <w:trHeight w:val="300"/>
        </w:trPr>
        <w:tc>
          <w:tcPr>
            <w:tcW w:w="0" w:type="auto"/>
            <w:tcBorders>
              <w:left w:val="nil"/>
              <w:bottom w:val="single" w:sz="4" w:space="0" w:color="auto"/>
              <w:right w:val="nil"/>
            </w:tcBorders>
            <w:vAlign w:val="center"/>
          </w:tcPr>
          <w:p w14:paraId="08C2582C" w14:textId="77777777" w:rsidR="0086223C" w:rsidRDefault="0086223C" w:rsidP="00785889">
            <w:pPr>
              <w:spacing w:after="0" w:line="240" w:lineRule="auto"/>
              <w:jc w:val="center"/>
              <w:rPr>
                <w:rFonts w:ascii="Arial" w:eastAsia="Times New Roman" w:hAnsi="Arial" w:cs="Arial"/>
                <w:sz w:val="18"/>
                <w:szCs w:val="18"/>
              </w:rPr>
            </w:pPr>
          </w:p>
        </w:tc>
        <w:tc>
          <w:tcPr>
            <w:tcW w:w="0" w:type="auto"/>
            <w:tcBorders>
              <w:left w:val="nil"/>
              <w:bottom w:val="single" w:sz="4" w:space="0" w:color="auto"/>
              <w:right w:val="nil"/>
            </w:tcBorders>
            <w:shd w:val="clear" w:color="auto" w:fill="auto"/>
            <w:vAlign w:val="center"/>
            <w:hideMark/>
          </w:tcPr>
          <w:p w14:paraId="22BD42B7" w14:textId="77777777" w:rsidR="0086223C" w:rsidRPr="0086223C" w:rsidRDefault="0086223C" w:rsidP="00785889">
            <w:pPr>
              <w:spacing w:after="0" w:line="240" w:lineRule="auto"/>
              <w:jc w:val="center"/>
              <w:rPr>
                <w:rFonts w:ascii="Arial" w:eastAsia="Times New Roman" w:hAnsi="Arial" w:cs="Arial"/>
                <w:sz w:val="18"/>
                <w:szCs w:val="18"/>
              </w:rPr>
            </w:pPr>
            <w:r>
              <w:rPr>
                <w:rFonts w:ascii="Arial" w:eastAsia="Times New Roman" w:hAnsi="Arial" w:cs="Arial"/>
                <w:sz w:val="18"/>
                <w:szCs w:val="18"/>
              </w:rPr>
              <w:t>Subclinical hypothyroidism</w:t>
            </w:r>
            <w:r w:rsidR="001E0FF6" w:rsidRPr="001E0FF6">
              <w:rPr>
                <w:rFonts w:ascii="Arial" w:eastAsia="Times New Roman" w:hAnsi="Arial" w:cs="Arial"/>
                <w:sz w:val="18"/>
                <w:szCs w:val="18"/>
                <w:vertAlign w:val="superscript"/>
              </w:rPr>
              <w:t>‡</w:t>
            </w:r>
            <w:r w:rsidR="00C21AFE">
              <w:rPr>
                <w:rFonts w:ascii="Arial" w:eastAsia="Times New Roman" w:hAnsi="Arial" w:cs="Arial"/>
                <w:sz w:val="18"/>
                <w:szCs w:val="18"/>
                <w:vertAlign w:val="superscript"/>
              </w:rPr>
              <w:t xml:space="preserve"> </w:t>
            </w:r>
            <w:proofErr w:type="gramStart"/>
            <w:r w:rsidR="00C21AFE" w:rsidRPr="00C21AFE">
              <w:rPr>
                <w:rFonts w:ascii="Arial" w:eastAsia="Times New Roman" w:hAnsi="Arial" w:cs="Arial"/>
                <w:sz w:val="18"/>
                <w:szCs w:val="18"/>
              </w:rPr>
              <w:t>n(</w:t>
            </w:r>
            <w:proofErr w:type="gramEnd"/>
            <w:r w:rsidR="00C21AFE" w:rsidRPr="00C21AFE">
              <w:rPr>
                <w:rFonts w:ascii="Arial" w:eastAsia="Times New Roman" w:hAnsi="Arial" w:cs="Arial"/>
                <w:sz w:val="18"/>
                <w:szCs w:val="18"/>
              </w:rPr>
              <w:t>%)</w:t>
            </w:r>
          </w:p>
        </w:tc>
        <w:tc>
          <w:tcPr>
            <w:tcW w:w="0" w:type="auto"/>
            <w:tcBorders>
              <w:left w:val="nil"/>
              <w:bottom w:val="single" w:sz="4" w:space="0" w:color="auto"/>
              <w:right w:val="nil"/>
            </w:tcBorders>
            <w:shd w:val="clear" w:color="auto" w:fill="auto"/>
            <w:noWrap/>
            <w:vAlign w:val="center"/>
            <w:hideMark/>
          </w:tcPr>
          <w:p w14:paraId="51B518D5" w14:textId="77777777" w:rsidR="0086223C" w:rsidRPr="00A47A26" w:rsidRDefault="00677627" w:rsidP="00785889">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1 (2%)</w:t>
            </w:r>
          </w:p>
        </w:tc>
        <w:tc>
          <w:tcPr>
            <w:tcW w:w="0" w:type="auto"/>
            <w:tcBorders>
              <w:left w:val="nil"/>
              <w:bottom w:val="single" w:sz="4" w:space="0" w:color="auto"/>
              <w:right w:val="nil"/>
            </w:tcBorders>
            <w:shd w:val="clear" w:color="auto" w:fill="auto"/>
            <w:noWrap/>
            <w:vAlign w:val="center"/>
            <w:hideMark/>
          </w:tcPr>
          <w:p w14:paraId="2B867F9E" w14:textId="77777777" w:rsidR="0086223C" w:rsidRPr="00C21AFE" w:rsidRDefault="00677627" w:rsidP="00785889">
            <w:pPr>
              <w:spacing w:after="0" w:line="240" w:lineRule="auto"/>
              <w:jc w:val="center"/>
              <w:rPr>
                <w:rFonts w:ascii="Arial" w:eastAsia="Times New Roman" w:hAnsi="Arial" w:cs="Arial"/>
                <w:bCs/>
                <w:sz w:val="18"/>
                <w:szCs w:val="18"/>
              </w:rPr>
            </w:pPr>
            <w:r w:rsidRPr="00C21AFE">
              <w:rPr>
                <w:rFonts w:ascii="Arial" w:eastAsia="Times New Roman" w:hAnsi="Arial" w:cs="Arial"/>
                <w:bCs/>
                <w:sz w:val="18"/>
                <w:szCs w:val="18"/>
              </w:rPr>
              <w:t>0 (0%)</w:t>
            </w:r>
          </w:p>
        </w:tc>
        <w:tc>
          <w:tcPr>
            <w:tcW w:w="0" w:type="auto"/>
            <w:tcBorders>
              <w:left w:val="nil"/>
              <w:bottom w:val="single" w:sz="4" w:space="0" w:color="auto"/>
              <w:right w:val="nil"/>
            </w:tcBorders>
            <w:shd w:val="clear" w:color="auto" w:fill="auto"/>
            <w:noWrap/>
            <w:vAlign w:val="center"/>
            <w:hideMark/>
          </w:tcPr>
          <w:p w14:paraId="61DA9AE0" w14:textId="77777777" w:rsidR="0086223C" w:rsidRPr="00C21AFE" w:rsidRDefault="002D0152" w:rsidP="00785889">
            <w:pPr>
              <w:spacing w:after="0" w:line="240" w:lineRule="auto"/>
              <w:jc w:val="center"/>
              <w:rPr>
                <w:rFonts w:ascii="Arial" w:eastAsia="Times New Roman" w:hAnsi="Arial" w:cs="Arial"/>
                <w:bCs/>
                <w:sz w:val="18"/>
                <w:szCs w:val="18"/>
              </w:rPr>
            </w:pPr>
            <w:r w:rsidRPr="002D0152">
              <w:rPr>
                <w:rFonts w:ascii="Arial" w:eastAsia="Times New Roman" w:hAnsi="Arial" w:cs="Arial"/>
                <w:bCs/>
                <w:sz w:val="18"/>
                <w:szCs w:val="18"/>
              </w:rPr>
              <w:t>2 (3.2%)</w:t>
            </w:r>
          </w:p>
        </w:tc>
        <w:tc>
          <w:tcPr>
            <w:tcW w:w="0" w:type="auto"/>
            <w:tcBorders>
              <w:left w:val="nil"/>
              <w:bottom w:val="single" w:sz="4" w:space="0" w:color="auto"/>
              <w:right w:val="nil"/>
            </w:tcBorders>
            <w:shd w:val="clear" w:color="auto" w:fill="auto"/>
            <w:noWrap/>
            <w:vAlign w:val="center"/>
            <w:hideMark/>
          </w:tcPr>
          <w:p w14:paraId="1A747259" w14:textId="77777777" w:rsidR="0086223C" w:rsidRPr="00A47A26" w:rsidRDefault="00677627" w:rsidP="00785889">
            <w:pPr>
              <w:spacing w:after="0" w:line="240" w:lineRule="auto"/>
              <w:jc w:val="center"/>
              <w:rPr>
                <w:rFonts w:ascii="Arial" w:eastAsia="Times New Roman" w:hAnsi="Arial" w:cs="Arial"/>
                <w:bCs/>
                <w:sz w:val="18"/>
                <w:szCs w:val="18"/>
              </w:rPr>
            </w:pPr>
            <w:r>
              <w:rPr>
                <w:rFonts w:ascii="Arial" w:eastAsia="Times New Roman" w:hAnsi="Arial" w:cs="Arial"/>
                <w:bCs/>
                <w:sz w:val="18"/>
                <w:szCs w:val="18"/>
              </w:rPr>
              <w:t>0 (0%)</w:t>
            </w:r>
          </w:p>
        </w:tc>
      </w:tr>
    </w:tbl>
    <w:p w14:paraId="1C9CFD3A" w14:textId="77777777" w:rsidR="00BB3304" w:rsidRPr="001E0FF6" w:rsidRDefault="001E0FF6" w:rsidP="006718F6">
      <w:pPr>
        <w:spacing w:before="120" w:after="120" w:line="360" w:lineRule="auto"/>
        <w:rPr>
          <w:sz w:val="20"/>
        </w:rPr>
      </w:pPr>
      <w:r w:rsidRPr="001E0FF6">
        <w:rPr>
          <w:rFonts w:ascii="Arial" w:eastAsia="Times New Roman" w:hAnsi="Arial" w:cs="Arial"/>
          <w:sz w:val="16"/>
          <w:szCs w:val="18"/>
          <w:vertAlign w:val="superscript"/>
        </w:rPr>
        <w:t xml:space="preserve">† </w:t>
      </w:r>
      <w:r w:rsidRPr="001E0FF6">
        <w:rPr>
          <w:rFonts w:ascii="Arial" w:eastAsia="Times New Roman" w:hAnsi="Arial" w:cs="Arial"/>
          <w:sz w:val="16"/>
          <w:szCs w:val="18"/>
        </w:rPr>
        <w:t xml:space="preserve">TSH&gt;4.5mU/L, T4&lt;9pmol/L; </w:t>
      </w:r>
      <w:r w:rsidRPr="001E0FF6">
        <w:rPr>
          <w:rFonts w:ascii="Arial" w:eastAsia="Times New Roman" w:hAnsi="Arial" w:cs="Arial"/>
          <w:sz w:val="16"/>
          <w:szCs w:val="18"/>
          <w:vertAlign w:val="superscript"/>
        </w:rPr>
        <w:t xml:space="preserve">‡ </w:t>
      </w:r>
      <w:r w:rsidRPr="001E0FF6">
        <w:rPr>
          <w:rFonts w:ascii="Arial" w:eastAsia="Times New Roman" w:hAnsi="Arial" w:cs="Arial"/>
          <w:sz w:val="16"/>
          <w:szCs w:val="18"/>
        </w:rPr>
        <w:t>TSH&gt;4.5mU/L, T4&gt;9pmol/L</w:t>
      </w:r>
    </w:p>
    <w:p w14:paraId="4DAB5EDB" w14:textId="77777777" w:rsidR="009770C0" w:rsidRDefault="009770C0" w:rsidP="006718F6">
      <w:pPr>
        <w:spacing w:before="120" w:after="120" w:line="360" w:lineRule="auto"/>
      </w:pPr>
    </w:p>
    <w:p w14:paraId="4262D60B" w14:textId="3378FCF0" w:rsidR="004C1B78" w:rsidRPr="004C1B78" w:rsidRDefault="007526D4" w:rsidP="004C1B78">
      <w:pPr>
        <w:rPr>
          <w:b/>
        </w:rPr>
      </w:pPr>
      <w:r>
        <w:rPr>
          <w:b/>
        </w:rPr>
        <w:t>3.</w:t>
      </w:r>
      <w:r w:rsidR="00117E7B">
        <w:rPr>
          <w:b/>
        </w:rPr>
        <w:t>2</w:t>
      </w:r>
      <w:r>
        <w:rPr>
          <w:b/>
        </w:rPr>
        <w:t xml:space="preserve"> </w:t>
      </w:r>
      <w:r w:rsidR="004C1B78" w:rsidRPr="004C1B78">
        <w:rPr>
          <w:b/>
        </w:rPr>
        <w:t>Associations between dietary sources of iodine and volumetric brain structural data</w:t>
      </w:r>
    </w:p>
    <w:p w14:paraId="64BA3FB5" w14:textId="0AEB6C62" w:rsidR="004C1B78" w:rsidRDefault="004C1B78" w:rsidP="009B7EFC">
      <w:pPr>
        <w:spacing w:before="120" w:after="120" w:line="360" w:lineRule="auto"/>
        <w:jc w:val="both"/>
      </w:pPr>
      <w:r w:rsidRPr="004C1B78">
        <w:lastRenderedPageBreak/>
        <w:t xml:space="preserve">Table </w:t>
      </w:r>
      <w:r w:rsidR="00DC51D5">
        <w:t>5</w:t>
      </w:r>
      <w:r w:rsidRPr="004C1B78">
        <w:t xml:space="preserve"> shows the associations between </w:t>
      </w:r>
      <w:r w:rsidR="0033086B">
        <w:t xml:space="preserve">reported dietary </w:t>
      </w:r>
      <w:r w:rsidRPr="004C1B78">
        <w:t xml:space="preserve">iodine </w:t>
      </w:r>
      <w:r w:rsidR="0033086B">
        <w:t xml:space="preserve">intake (including and excluding iodine supplementary intake) </w:t>
      </w:r>
      <w:r w:rsidRPr="004C1B78">
        <w:t>and dietary sources of iodine and the volumetric brain structural parameters that can be affected by extr</w:t>
      </w:r>
      <w:r w:rsidR="00CC3852">
        <w:t>eme iodine intake</w:t>
      </w:r>
      <w:r w:rsidRPr="004C1B78">
        <w:t xml:space="preserve">. </w:t>
      </w:r>
      <w:r w:rsidR="00022B2B">
        <w:t>O</w:t>
      </w:r>
      <w:r w:rsidR="00764CCE">
        <w:t>f</w:t>
      </w:r>
      <w:r w:rsidR="00022B2B">
        <w:t xml:space="preserve"> the subsample studied, </w:t>
      </w:r>
      <w:r w:rsidRPr="004C1B78">
        <w:t>only the size of the brain lateral ventricles was positively associated with iodine intake (β=0.</w:t>
      </w:r>
      <w:r w:rsidR="001C0D8D">
        <w:t>2, p</w:t>
      </w:r>
      <w:r w:rsidR="00C37BF0">
        <w:t>≤</w:t>
      </w:r>
      <w:r w:rsidR="001C0D8D">
        <w:t>0.0</w:t>
      </w:r>
      <w:r w:rsidR="00C37BF0">
        <w:t>1</w:t>
      </w:r>
      <w:r w:rsidR="001C0D8D">
        <w:t xml:space="preserve">), indicating that the </w:t>
      </w:r>
      <w:r w:rsidRPr="004C1B78">
        <w:t>consumption o</w:t>
      </w:r>
      <w:r w:rsidR="00DC51D5">
        <w:t>f iodine</w:t>
      </w:r>
      <w:r w:rsidR="00CC3852">
        <w:t>,</w:t>
      </w:r>
      <w:r w:rsidR="001C0D8D">
        <w:t xml:space="preserve"> likely to indicate long exposure to this nutrient</w:t>
      </w:r>
      <w:r w:rsidR="00DC51D5">
        <w:t xml:space="preserve">, mainly due to the </w:t>
      </w:r>
      <w:r w:rsidRPr="004C1B78">
        <w:t>consumption of dairy products</w:t>
      </w:r>
      <w:r w:rsidR="00C37BF0" w:rsidRPr="00C37BF0">
        <w:t xml:space="preserve"> </w:t>
      </w:r>
      <w:r w:rsidR="00C37BF0">
        <w:t>(</w:t>
      </w:r>
      <w:r w:rsidR="00C37BF0" w:rsidRPr="00C37BF0">
        <w:t>β=0.</w:t>
      </w:r>
      <w:r w:rsidR="00C37BF0">
        <w:t xml:space="preserve">21, p=0.02) </w:t>
      </w:r>
      <w:r w:rsidRPr="004C1B78">
        <w:t xml:space="preserve">may have an influence in inner brain atrophy at older age. </w:t>
      </w:r>
      <w:r w:rsidR="00EA1591" w:rsidRPr="00EA1591">
        <w:t>Results from the robust regression with bootstrap did not differ substantially from those</w:t>
      </w:r>
      <w:r w:rsidR="00EA1591">
        <w:t xml:space="preserve"> presented in Table 5</w:t>
      </w:r>
      <w:r w:rsidR="00EA1591" w:rsidRPr="00EA1591">
        <w:t>.</w:t>
      </w:r>
      <w:r w:rsidR="00EA1591">
        <w:t xml:space="preserve"> </w:t>
      </w:r>
      <w:r w:rsidRPr="004C1B78">
        <w:t xml:space="preserve">As expected, the burden of white matter damage, represented by the volume of white matter </w:t>
      </w:r>
      <w:proofErr w:type="spellStart"/>
      <w:r w:rsidRPr="004C1B78">
        <w:t>hyperintensities</w:t>
      </w:r>
      <w:proofErr w:type="spellEnd"/>
      <w:r w:rsidRPr="004C1B78">
        <w:t>, was associated with the i</w:t>
      </w:r>
      <w:r w:rsidR="00C37BF0">
        <w:t>ntake of fish products (β=0.28</w:t>
      </w:r>
      <w:r w:rsidRPr="004C1B78">
        <w:t>, p=0.002), rich in fats</w:t>
      </w:r>
      <w:r w:rsidR="008E028D">
        <w:t xml:space="preserve"> and saturated fats (see T</w:t>
      </w:r>
      <w:r w:rsidR="00DC51D5">
        <w:t>able 6</w:t>
      </w:r>
      <w:r w:rsidRPr="004C1B78">
        <w:t>)</w:t>
      </w:r>
      <w:r w:rsidR="001C0D8D">
        <w:t xml:space="preserve"> in this subsample</w:t>
      </w:r>
      <w:r w:rsidRPr="004C1B78">
        <w:t xml:space="preserve">. </w:t>
      </w:r>
    </w:p>
    <w:p w14:paraId="582AE92E" w14:textId="77777777" w:rsidR="0069028B" w:rsidRDefault="0069028B" w:rsidP="006718F6">
      <w:pPr>
        <w:spacing w:before="120" w:after="120" w:line="360" w:lineRule="auto"/>
      </w:pPr>
    </w:p>
    <w:p w14:paraId="01406F2B" w14:textId="253FF6E3" w:rsidR="0069028B" w:rsidRDefault="00117E7B" w:rsidP="0069028B">
      <w:pPr>
        <w:rPr>
          <w:b/>
        </w:rPr>
      </w:pPr>
      <w:r>
        <w:rPr>
          <w:b/>
        </w:rPr>
        <w:t>3.3</w:t>
      </w:r>
      <w:r w:rsidR="007526D4">
        <w:rPr>
          <w:b/>
        </w:rPr>
        <w:t xml:space="preserve"> </w:t>
      </w:r>
      <w:r w:rsidR="0069028B" w:rsidRPr="004C1B78">
        <w:rPr>
          <w:b/>
        </w:rPr>
        <w:t xml:space="preserve">Associations between </w:t>
      </w:r>
      <w:r w:rsidR="0069028B">
        <w:rPr>
          <w:b/>
        </w:rPr>
        <w:t xml:space="preserve">general </w:t>
      </w:r>
      <w:r w:rsidR="0069028B" w:rsidRPr="004C1B78">
        <w:rPr>
          <w:b/>
        </w:rPr>
        <w:t xml:space="preserve">dietary </w:t>
      </w:r>
      <w:r w:rsidR="0069028B">
        <w:rPr>
          <w:b/>
        </w:rPr>
        <w:t>variables</w:t>
      </w:r>
      <w:r w:rsidR="0069028B" w:rsidRPr="004C1B78">
        <w:rPr>
          <w:b/>
        </w:rPr>
        <w:t xml:space="preserve"> and volumetric brain structural data</w:t>
      </w:r>
    </w:p>
    <w:p w14:paraId="1FF575DA" w14:textId="79B6DE70" w:rsidR="0069028B" w:rsidRDefault="00022B2B" w:rsidP="009B7EFC">
      <w:pPr>
        <w:spacing w:before="120" w:after="120" w:line="360" w:lineRule="auto"/>
        <w:jc w:val="both"/>
      </w:pPr>
      <w:r w:rsidRPr="0033086B">
        <w:t>In th</w:t>
      </w:r>
      <w:r w:rsidR="0033086B" w:rsidRPr="0033086B">
        <w:t>e subsample representative of a</w:t>
      </w:r>
      <w:r w:rsidRPr="0033086B">
        <w:t xml:space="preserve"> trait of iodine consumption</w:t>
      </w:r>
      <w:r w:rsidR="0069028B" w:rsidRPr="0033086B">
        <w:t>,</w:t>
      </w:r>
      <w:r w:rsidR="0069028B" w:rsidRPr="004C1B78">
        <w:t xml:space="preserve"> high calorie, fat, cholesterol</w:t>
      </w:r>
      <w:r w:rsidR="00C029CF">
        <w:t>, protein</w:t>
      </w:r>
      <w:r w:rsidR="0069028B" w:rsidRPr="004C1B78">
        <w:t xml:space="preserve"> and </w:t>
      </w:r>
      <w:r w:rsidR="00C029CF">
        <w:t>sodium</w:t>
      </w:r>
      <w:r w:rsidR="0069028B" w:rsidRPr="004C1B78">
        <w:t xml:space="preserve"> intake</w:t>
      </w:r>
      <w:r w:rsidR="005231FB">
        <w:t xml:space="preserve"> (</w:t>
      </w:r>
      <w:r w:rsidR="0069028B" w:rsidRPr="004C1B78">
        <w:t>present in dairy and fish products) were sig</w:t>
      </w:r>
      <w:r w:rsidR="00C029CF">
        <w:t>nificantly associated with</w:t>
      </w:r>
      <w:r w:rsidR="0069028B" w:rsidRPr="004C1B78">
        <w:t xml:space="preserve"> lateral </w:t>
      </w:r>
      <w:r w:rsidR="00C029CF">
        <w:t xml:space="preserve">and third </w:t>
      </w:r>
      <w:r w:rsidR="0069028B" w:rsidRPr="004C1B78">
        <w:t xml:space="preserve">ventricular enlargement and </w:t>
      </w:r>
      <w:r w:rsidR="00AA4B2F">
        <w:t xml:space="preserve">the percentage of </w:t>
      </w:r>
      <w:r w:rsidR="0069028B" w:rsidRPr="004C1B78">
        <w:t xml:space="preserve">white matter </w:t>
      </w:r>
      <w:proofErr w:type="spellStart"/>
      <w:r w:rsidR="0069028B" w:rsidRPr="004C1B78">
        <w:t>hyperinte</w:t>
      </w:r>
      <w:r w:rsidR="0069028B">
        <w:t>nsity</w:t>
      </w:r>
      <w:proofErr w:type="spellEnd"/>
      <w:r w:rsidR="0069028B">
        <w:t xml:space="preserve"> volume </w:t>
      </w:r>
      <w:r w:rsidR="00AA4B2F">
        <w:t xml:space="preserve">in ICV </w:t>
      </w:r>
      <w:r w:rsidR="0069028B">
        <w:t>at old age</w:t>
      </w:r>
      <w:r w:rsidR="00DC51D5">
        <w:t xml:space="preserve"> (Table 6</w:t>
      </w:r>
      <w:r w:rsidR="0069028B" w:rsidRPr="004C1B78">
        <w:t>).</w:t>
      </w:r>
      <w:r w:rsidR="00693A43">
        <w:t xml:space="preserve"> However, after adjusting for multiple comparisons, </w:t>
      </w:r>
      <w:r w:rsidR="00AA4B2F">
        <w:t xml:space="preserve">only the associations between energy, fat and proteins with lateral and third ventricular enlargements remained significant. Interestingly, sodium intake was negatively associated with the percentage of subarachnoid space occupied in ICV, but this association disappeared after </w:t>
      </w:r>
      <w:r w:rsidR="00C37BF0">
        <w:t>FDR correction</w:t>
      </w:r>
      <w:r w:rsidR="00AA4B2F">
        <w:t>.</w:t>
      </w:r>
    </w:p>
    <w:p w14:paraId="26B6ECA3" w14:textId="77777777" w:rsidR="0069028B" w:rsidRDefault="0069028B" w:rsidP="006718F6">
      <w:pPr>
        <w:spacing w:before="120" w:after="120" w:line="360" w:lineRule="auto"/>
      </w:pPr>
    </w:p>
    <w:p w14:paraId="52A0F049" w14:textId="0E3F0A29" w:rsidR="0069028B" w:rsidRPr="00661B01" w:rsidRDefault="00117E7B" w:rsidP="0069028B">
      <w:pPr>
        <w:rPr>
          <w:b/>
        </w:rPr>
      </w:pPr>
      <w:r>
        <w:rPr>
          <w:b/>
        </w:rPr>
        <w:t xml:space="preserve">3.4 </w:t>
      </w:r>
      <w:r w:rsidR="007526D4">
        <w:rPr>
          <w:b/>
        </w:rPr>
        <w:t>D</w:t>
      </w:r>
      <w:r w:rsidR="0069028B" w:rsidRPr="00661B01">
        <w:rPr>
          <w:b/>
        </w:rPr>
        <w:t xml:space="preserve">ietary </w:t>
      </w:r>
      <w:r w:rsidR="0069028B">
        <w:rPr>
          <w:b/>
        </w:rPr>
        <w:t>iodine</w:t>
      </w:r>
      <w:r w:rsidR="0069028B" w:rsidRPr="00661B01">
        <w:rPr>
          <w:b/>
        </w:rPr>
        <w:t xml:space="preserve"> and </w:t>
      </w:r>
      <w:r w:rsidR="0069028B">
        <w:rPr>
          <w:b/>
        </w:rPr>
        <w:t xml:space="preserve">cognition </w:t>
      </w:r>
    </w:p>
    <w:p w14:paraId="032EF228" w14:textId="3CC6950A" w:rsidR="0069028B" w:rsidRDefault="0069028B" w:rsidP="009B7EFC">
      <w:pPr>
        <w:spacing w:before="120" w:after="120" w:line="360" w:lineRule="auto"/>
        <w:jc w:val="both"/>
      </w:pPr>
      <w:r w:rsidRPr="004C1B78">
        <w:t xml:space="preserve">Initial tests showed a positive association between </w:t>
      </w:r>
      <w:r w:rsidR="00764CCE">
        <w:t xml:space="preserve">the </w:t>
      </w:r>
      <w:r w:rsidRPr="004C1B78">
        <w:t>general cogniti</w:t>
      </w:r>
      <w:r w:rsidR="00764CCE">
        <w:t>ve factor</w:t>
      </w:r>
      <w:r w:rsidRPr="004C1B78">
        <w:t xml:space="preserve"> at older age and the intake of dairy products excluding milk and shell fish (</w:t>
      </w:r>
      <w:r w:rsidR="00897379">
        <w:t xml:space="preserve">before excluding outliers </w:t>
      </w:r>
      <w:r w:rsidR="00C37BF0">
        <w:t>β=0.19, p=0.02</w:t>
      </w:r>
      <w:r w:rsidR="00897379">
        <w:t xml:space="preserve"> and after </w:t>
      </w:r>
      <w:r w:rsidRPr="004C1B78">
        <w:t xml:space="preserve">β=0.16, p=0.01). However, </w:t>
      </w:r>
      <w:r w:rsidR="00E36B1A">
        <w:t>the effect was no longer statistically significant</w:t>
      </w:r>
      <w:r w:rsidR="00764CCE">
        <w:t xml:space="preserve"> following </w:t>
      </w:r>
      <w:r w:rsidRPr="004C1B78">
        <w:t xml:space="preserve">post-hoc adjustments for multiple comparisons. Only the association between general memory (g-memory) at age 72.7 years and the intake of canned fish </w:t>
      </w:r>
      <w:r w:rsidR="007526D4">
        <w:t xml:space="preserve">in this subsample with extreme/medium intake of iodine </w:t>
      </w:r>
      <w:r w:rsidRPr="004C1B78">
        <w:t>remained sig</w:t>
      </w:r>
      <w:r>
        <w:t>nificant (</w:t>
      </w:r>
      <w:r w:rsidR="00C37BF0">
        <w:t xml:space="preserve">before excluding outliers </w:t>
      </w:r>
      <w:r w:rsidR="00C37BF0" w:rsidRPr="00C37BF0">
        <w:t>β=0.2</w:t>
      </w:r>
      <w:r w:rsidR="00C37BF0">
        <w:t xml:space="preserve">3, p=0.005 and after </w:t>
      </w:r>
      <w:r>
        <w:t>β=0.2, p=0.003)</w:t>
      </w:r>
      <w:r w:rsidRPr="004C1B78">
        <w:t xml:space="preserve"> </w:t>
      </w:r>
      <w:r w:rsidR="00DC51D5">
        <w:t>(Table 5</w:t>
      </w:r>
      <w:r>
        <w:t>).</w:t>
      </w:r>
    </w:p>
    <w:p w14:paraId="3B0CAB38" w14:textId="32BDDBFE" w:rsidR="007526D4" w:rsidRDefault="007526D4" w:rsidP="009B7EFC">
      <w:pPr>
        <w:spacing w:before="120" w:after="120" w:line="360" w:lineRule="auto"/>
        <w:jc w:val="both"/>
      </w:pPr>
      <w:r w:rsidRPr="0033086B">
        <w:t>Childhood intelligence did not predict iodine intake levels at old age in the whole sample (p=0.29)</w:t>
      </w:r>
      <w:r w:rsidR="009B312A" w:rsidRPr="0033086B">
        <w:t xml:space="preserve"> or in the reduced sample </w:t>
      </w:r>
      <w:r w:rsidR="00E36B1A" w:rsidRPr="0033086B">
        <w:t xml:space="preserve">with known </w:t>
      </w:r>
      <w:r w:rsidR="009B312A" w:rsidRPr="0033086B">
        <w:t>iodine consumption levels (p=0.32).</w:t>
      </w:r>
    </w:p>
    <w:p w14:paraId="70115025" w14:textId="77777777" w:rsidR="00EA42FC" w:rsidRPr="004C1B78" w:rsidRDefault="00EA42FC" w:rsidP="0069028B">
      <w:pPr>
        <w:spacing w:before="120" w:after="120" w:line="360" w:lineRule="auto"/>
      </w:pPr>
    </w:p>
    <w:p w14:paraId="633C9340" w14:textId="7BAFE3C5" w:rsidR="004C1B78" w:rsidRPr="006718F6" w:rsidRDefault="004C1B78" w:rsidP="004C1B78">
      <w:pPr>
        <w:rPr>
          <w:b/>
          <w:sz w:val="20"/>
        </w:rPr>
      </w:pPr>
      <w:r w:rsidRPr="006718F6">
        <w:rPr>
          <w:b/>
          <w:sz w:val="20"/>
        </w:rPr>
        <w:t xml:space="preserve">Table </w:t>
      </w:r>
      <w:r w:rsidR="00DC51D5">
        <w:rPr>
          <w:b/>
          <w:sz w:val="20"/>
        </w:rPr>
        <w:t>5</w:t>
      </w:r>
      <w:r w:rsidRPr="006718F6">
        <w:rPr>
          <w:b/>
          <w:sz w:val="20"/>
        </w:rPr>
        <w:t xml:space="preserve">. Results of the associations between dietary variables that relate to iodine and imaging and cognitive variables in the subsample with </w:t>
      </w:r>
      <w:r w:rsidR="00CA7151" w:rsidRPr="00CA7151">
        <w:rPr>
          <w:b/>
          <w:sz w:val="20"/>
        </w:rPr>
        <w:t xml:space="preserve">extreme/middle iodine </w:t>
      </w:r>
      <w:r w:rsidR="00CC3852">
        <w:rPr>
          <w:b/>
          <w:sz w:val="20"/>
        </w:rPr>
        <w:t>intake/avoidance</w:t>
      </w:r>
      <w:r w:rsidR="00897379">
        <w:rPr>
          <w:b/>
          <w:sz w:val="20"/>
        </w:rPr>
        <w:t>, before FDR correction</w:t>
      </w:r>
      <w:r w:rsidRPr="006718F6">
        <w:rPr>
          <w:b/>
          <w:sz w:val="20"/>
        </w:rPr>
        <w:t xml:space="preserve">. Given: standardised coefficient β (p-value)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952"/>
        <w:gridCol w:w="854"/>
        <w:gridCol w:w="854"/>
        <w:gridCol w:w="840"/>
        <w:gridCol w:w="854"/>
        <w:gridCol w:w="826"/>
        <w:gridCol w:w="842"/>
        <w:gridCol w:w="847"/>
        <w:gridCol w:w="957"/>
        <w:gridCol w:w="957"/>
      </w:tblGrid>
      <w:tr w:rsidR="009579B7" w:rsidRPr="00FE0285" w14:paraId="0A0E06AD" w14:textId="77777777" w:rsidTr="009579B7">
        <w:tc>
          <w:tcPr>
            <w:tcW w:w="1087" w:type="dxa"/>
            <w:shd w:val="clear" w:color="auto" w:fill="auto"/>
          </w:tcPr>
          <w:p w14:paraId="25E9E92D" w14:textId="77777777" w:rsidR="009579B7" w:rsidRPr="00567A4A" w:rsidRDefault="009579B7" w:rsidP="0033086B">
            <w:pPr>
              <w:rPr>
                <w:b/>
                <w:sz w:val="20"/>
                <w:szCs w:val="20"/>
              </w:rPr>
            </w:pPr>
            <w:r w:rsidRPr="00567A4A">
              <w:rPr>
                <w:b/>
                <w:sz w:val="20"/>
                <w:szCs w:val="20"/>
              </w:rPr>
              <w:lastRenderedPageBreak/>
              <w:t>Imaging variables (% volume in ICV)</w:t>
            </w:r>
          </w:p>
        </w:tc>
        <w:tc>
          <w:tcPr>
            <w:tcW w:w="952" w:type="dxa"/>
            <w:shd w:val="clear" w:color="auto" w:fill="auto"/>
          </w:tcPr>
          <w:p w14:paraId="19A31E8B" w14:textId="0BEEDFEA" w:rsidR="009579B7" w:rsidRPr="00567A4A" w:rsidRDefault="009579B7" w:rsidP="0033086B">
            <w:pPr>
              <w:rPr>
                <w:b/>
                <w:sz w:val="20"/>
                <w:szCs w:val="20"/>
              </w:rPr>
            </w:pPr>
            <w:r w:rsidRPr="00567A4A">
              <w:rPr>
                <w:b/>
                <w:sz w:val="20"/>
                <w:szCs w:val="20"/>
              </w:rPr>
              <w:t>Iodine (</w:t>
            </w:r>
            <w:proofErr w:type="spellStart"/>
            <w:r w:rsidRPr="00567A4A">
              <w:rPr>
                <w:b/>
                <w:sz w:val="20"/>
                <w:szCs w:val="20"/>
              </w:rPr>
              <w:t>ug</w:t>
            </w:r>
            <w:proofErr w:type="spellEnd"/>
            <w:r w:rsidRPr="00567A4A">
              <w:rPr>
                <w:b/>
                <w:sz w:val="20"/>
                <w:szCs w:val="20"/>
              </w:rPr>
              <w:t>/day)</w:t>
            </w:r>
          </w:p>
        </w:tc>
        <w:tc>
          <w:tcPr>
            <w:tcW w:w="854" w:type="dxa"/>
          </w:tcPr>
          <w:p w14:paraId="35F87973" w14:textId="6649114F" w:rsidR="009579B7" w:rsidRPr="00567A4A" w:rsidRDefault="009579B7" w:rsidP="0033086B">
            <w:pPr>
              <w:rPr>
                <w:b/>
                <w:sz w:val="20"/>
                <w:szCs w:val="20"/>
              </w:rPr>
            </w:pPr>
            <w:r>
              <w:rPr>
                <w:b/>
                <w:sz w:val="20"/>
                <w:szCs w:val="20"/>
              </w:rPr>
              <w:t>Iodine + supplements (</w:t>
            </w:r>
            <w:proofErr w:type="spellStart"/>
            <w:r>
              <w:rPr>
                <w:b/>
                <w:sz w:val="20"/>
                <w:szCs w:val="20"/>
              </w:rPr>
              <w:t>ug</w:t>
            </w:r>
            <w:proofErr w:type="spellEnd"/>
            <w:r>
              <w:rPr>
                <w:b/>
                <w:sz w:val="20"/>
                <w:szCs w:val="20"/>
              </w:rPr>
              <w:t>/day)</w:t>
            </w:r>
          </w:p>
        </w:tc>
        <w:tc>
          <w:tcPr>
            <w:tcW w:w="854" w:type="dxa"/>
            <w:shd w:val="clear" w:color="auto" w:fill="auto"/>
          </w:tcPr>
          <w:p w14:paraId="21D78101" w14:textId="4BD498D8" w:rsidR="009579B7" w:rsidRPr="00567A4A" w:rsidRDefault="009579B7" w:rsidP="0033086B">
            <w:pPr>
              <w:rPr>
                <w:b/>
                <w:sz w:val="20"/>
                <w:szCs w:val="20"/>
              </w:rPr>
            </w:pPr>
            <w:r w:rsidRPr="00567A4A">
              <w:rPr>
                <w:b/>
                <w:sz w:val="20"/>
                <w:szCs w:val="20"/>
              </w:rPr>
              <w:t>Milk (g/day)</w:t>
            </w:r>
          </w:p>
        </w:tc>
        <w:tc>
          <w:tcPr>
            <w:tcW w:w="840" w:type="dxa"/>
            <w:shd w:val="clear" w:color="auto" w:fill="auto"/>
          </w:tcPr>
          <w:p w14:paraId="637CDA47" w14:textId="77777777" w:rsidR="009579B7" w:rsidRPr="00567A4A" w:rsidRDefault="009579B7" w:rsidP="0033086B">
            <w:pPr>
              <w:rPr>
                <w:b/>
                <w:sz w:val="20"/>
                <w:szCs w:val="20"/>
              </w:rPr>
            </w:pPr>
            <w:r w:rsidRPr="00567A4A">
              <w:rPr>
                <w:b/>
                <w:sz w:val="20"/>
                <w:szCs w:val="20"/>
              </w:rPr>
              <w:t>Other dairy (g/day)</w:t>
            </w:r>
          </w:p>
        </w:tc>
        <w:tc>
          <w:tcPr>
            <w:tcW w:w="854" w:type="dxa"/>
            <w:shd w:val="clear" w:color="auto" w:fill="auto"/>
          </w:tcPr>
          <w:p w14:paraId="47CECA9B" w14:textId="77777777" w:rsidR="009579B7" w:rsidRPr="00567A4A" w:rsidRDefault="009579B7" w:rsidP="0033086B">
            <w:pPr>
              <w:rPr>
                <w:b/>
                <w:sz w:val="20"/>
                <w:szCs w:val="20"/>
              </w:rPr>
            </w:pPr>
            <w:r w:rsidRPr="00567A4A">
              <w:rPr>
                <w:b/>
                <w:sz w:val="20"/>
                <w:szCs w:val="20"/>
              </w:rPr>
              <w:t>All dairy (g/day)</w:t>
            </w:r>
          </w:p>
        </w:tc>
        <w:tc>
          <w:tcPr>
            <w:tcW w:w="826" w:type="dxa"/>
            <w:shd w:val="clear" w:color="auto" w:fill="auto"/>
          </w:tcPr>
          <w:p w14:paraId="633F7CF7" w14:textId="77777777" w:rsidR="009579B7" w:rsidRPr="00567A4A" w:rsidRDefault="009579B7" w:rsidP="0033086B">
            <w:pPr>
              <w:rPr>
                <w:b/>
                <w:sz w:val="20"/>
                <w:szCs w:val="20"/>
              </w:rPr>
            </w:pPr>
            <w:r w:rsidRPr="00567A4A">
              <w:rPr>
                <w:b/>
                <w:sz w:val="20"/>
                <w:szCs w:val="20"/>
              </w:rPr>
              <w:t>White fish (g/day)</w:t>
            </w:r>
          </w:p>
        </w:tc>
        <w:tc>
          <w:tcPr>
            <w:tcW w:w="842" w:type="dxa"/>
            <w:shd w:val="clear" w:color="auto" w:fill="auto"/>
          </w:tcPr>
          <w:p w14:paraId="15A9F5B6" w14:textId="77777777" w:rsidR="009579B7" w:rsidRPr="00567A4A" w:rsidRDefault="009579B7" w:rsidP="0033086B">
            <w:pPr>
              <w:rPr>
                <w:b/>
                <w:sz w:val="20"/>
                <w:szCs w:val="20"/>
              </w:rPr>
            </w:pPr>
            <w:r w:rsidRPr="00567A4A">
              <w:rPr>
                <w:b/>
                <w:sz w:val="20"/>
                <w:szCs w:val="20"/>
              </w:rPr>
              <w:t>Oily fish (g/day)</w:t>
            </w:r>
          </w:p>
        </w:tc>
        <w:tc>
          <w:tcPr>
            <w:tcW w:w="847" w:type="dxa"/>
            <w:shd w:val="clear" w:color="auto" w:fill="auto"/>
          </w:tcPr>
          <w:p w14:paraId="344402C3" w14:textId="77777777" w:rsidR="009579B7" w:rsidRPr="00567A4A" w:rsidRDefault="009579B7" w:rsidP="0033086B">
            <w:pPr>
              <w:rPr>
                <w:b/>
                <w:sz w:val="20"/>
                <w:szCs w:val="20"/>
              </w:rPr>
            </w:pPr>
            <w:r w:rsidRPr="00567A4A">
              <w:rPr>
                <w:b/>
                <w:sz w:val="20"/>
                <w:szCs w:val="20"/>
              </w:rPr>
              <w:t>Shell fish (g/day)</w:t>
            </w:r>
          </w:p>
        </w:tc>
        <w:tc>
          <w:tcPr>
            <w:tcW w:w="957" w:type="dxa"/>
            <w:shd w:val="clear" w:color="auto" w:fill="auto"/>
          </w:tcPr>
          <w:p w14:paraId="302ABCCC" w14:textId="77777777" w:rsidR="009579B7" w:rsidRPr="00567A4A" w:rsidRDefault="009579B7" w:rsidP="0033086B">
            <w:pPr>
              <w:rPr>
                <w:b/>
                <w:sz w:val="20"/>
                <w:szCs w:val="20"/>
              </w:rPr>
            </w:pPr>
            <w:r w:rsidRPr="00567A4A">
              <w:rPr>
                <w:b/>
                <w:sz w:val="20"/>
                <w:szCs w:val="20"/>
              </w:rPr>
              <w:t>Fish products (g/day)</w:t>
            </w:r>
          </w:p>
        </w:tc>
        <w:tc>
          <w:tcPr>
            <w:tcW w:w="957" w:type="dxa"/>
            <w:shd w:val="clear" w:color="auto" w:fill="auto"/>
          </w:tcPr>
          <w:p w14:paraId="72999C4C" w14:textId="77777777" w:rsidR="009579B7" w:rsidRPr="00567A4A" w:rsidRDefault="009579B7" w:rsidP="0033086B">
            <w:pPr>
              <w:rPr>
                <w:b/>
                <w:sz w:val="20"/>
                <w:szCs w:val="20"/>
              </w:rPr>
            </w:pPr>
            <w:r w:rsidRPr="00567A4A">
              <w:rPr>
                <w:b/>
                <w:sz w:val="20"/>
                <w:szCs w:val="20"/>
              </w:rPr>
              <w:t>Fish canned (g/day)</w:t>
            </w:r>
          </w:p>
        </w:tc>
      </w:tr>
      <w:tr w:rsidR="009579B7" w:rsidRPr="004C1B78" w14:paraId="1B44D288" w14:textId="77777777" w:rsidTr="009579B7">
        <w:tc>
          <w:tcPr>
            <w:tcW w:w="1087" w:type="dxa"/>
            <w:shd w:val="clear" w:color="auto" w:fill="auto"/>
          </w:tcPr>
          <w:p w14:paraId="5722C016" w14:textId="77777777" w:rsidR="009579B7" w:rsidRPr="00567A4A" w:rsidRDefault="009579B7" w:rsidP="004C1B78">
            <w:pPr>
              <w:rPr>
                <w:b/>
                <w:sz w:val="20"/>
                <w:szCs w:val="20"/>
              </w:rPr>
            </w:pPr>
            <w:r w:rsidRPr="00567A4A">
              <w:rPr>
                <w:b/>
                <w:sz w:val="20"/>
                <w:szCs w:val="20"/>
              </w:rPr>
              <w:t>Cerebellum WM_R</w:t>
            </w:r>
          </w:p>
        </w:tc>
        <w:tc>
          <w:tcPr>
            <w:tcW w:w="952" w:type="dxa"/>
            <w:shd w:val="clear" w:color="auto" w:fill="auto"/>
          </w:tcPr>
          <w:p w14:paraId="6B2FF065" w14:textId="77777777" w:rsidR="009579B7" w:rsidRPr="00567A4A" w:rsidRDefault="009579B7" w:rsidP="004C1B78">
            <w:pPr>
              <w:rPr>
                <w:sz w:val="20"/>
                <w:szCs w:val="20"/>
              </w:rPr>
            </w:pPr>
            <w:r w:rsidRPr="00567A4A">
              <w:rPr>
                <w:sz w:val="20"/>
                <w:szCs w:val="20"/>
              </w:rPr>
              <w:t>0.04 (0.69)</w:t>
            </w:r>
          </w:p>
        </w:tc>
        <w:tc>
          <w:tcPr>
            <w:tcW w:w="854" w:type="dxa"/>
          </w:tcPr>
          <w:p w14:paraId="044E8491" w14:textId="7980FFEE" w:rsidR="009579B7" w:rsidRPr="00567A4A" w:rsidRDefault="00285A44" w:rsidP="004C1B78">
            <w:pPr>
              <w:rPr>
                <w:sz w:val="20"/>
                <w:szCs w:val="20"/>
              </w:rPr>
            </w:pPr>
            <w:r>
              <w:rPr>
                <w:sz w:val="20"/>
                <w:szCs w:val="20"/>
              </w:rPr>
              <w:t>0.04 (0.63)</w:t>
            </w:r>
          </w:p>
        </w:tc>
        <w:tc>
          <w:tcPr>
            <w:tcW w:w="854" w:type="dxa"/>
            <w:shd w:val="clear" w:color="auto" w:fill="auto"/>
          </w:tcPr>
          <w:p w14:paraId="29263BD1" w14:textId="16104DCA" w:rsidR="009579B7" w:rsidRPr="00567A4A" w:rsidRDefault="007A1E83" w:rsidP="004C1B78">
            <w:pPr>
              <w:rPr>
                <w:sz w:val="20"/>
                <w:szCs w:val="20"/>
              </w:rPr>
            </w:pPr>
            <w:r>
              <w:rPr>
                <w:sz w:val="20"/>
                <w:szCs w:val="20"/>
              </w:rPr>
              <w:t>0.02 (0.81</w:t>
            </w:r>
            <w:r w:rsidR="009579B7" w:rsidRPr="00567A4A">
              <w:rPr>
                <w:sz w:val="20"/>
                <w:szCs w:val="20"/>
              </w:rPr>
              <w:t>)</w:t>
            </w:r>
          </w:p>
        </w:tc>
        <w:tc>
          <w:tcPr>
            <w:tcW w:w="840" w:type="dxa"/>
            <w:shd w:val="clear" w:color="auto" w:fill="auto"/>
          </w:tcPr>
          <w:p w14:paraId="3AD194C5" w14:textId="5E56FC0F" w:rsidR="009579B7" w:rsidRPr="00567A4A" w:rsidRDefault="00284042" w:rsidP="00284042">
            <w:pPr>
              <w:rPr>
                <w:sz w:val="20"/>
                <w:szCs w:val="20"/>
              </w:rPr>
            </w:pPr>
            <w:r>
              <w:rPr>
                <w:sz w:val="20"/>
                <w:szCs w:val="20"/>
              </w:rPr>
              <w:t>-0.07</w:t>
            </w:r>
            <w:r w:rsidR="009579B7" w:rsidRPr="00567A4A">
              <w:rPr>
                <w:sz w:val="20"/>
                <w:szCs w:val="20"/>
              </w:rPr>
              <w:t xml:space="preserve"> (0.</w:t>
            </w:r>
            <w:r>
              <w:rPr>
                <w:sz w:val="20"/>
                <w:szCs w:val="20"/>
              </w:rPr>
              <w:t>47</w:t>
            </w:r>
            <w:r w:rsidR="009579B7" w:rsidRPr="00567A4A">
              <w:rPr>
                <w:sz w:val="20"/>
                <w:szCs w:val="20"/>
              </w:rPr>
              <w:t>)</w:t>
            </w:r>
          </w:p>
        </w:tc>
        <w:tc>
          <w:tcPr>
            <w:tcW w:w="854" w:type="dxa"/>
            <w:shd w:val="clear" w:color="auto" w:fill="auto"/>
          </w:tcPr>
          <w:p w14:paraId="15452D39" w14:textId="248CF46A" w:rsidR="009579B7" w:rsidRPr="00567A4A" w:rsidRDefault="009579B7" w:rsidP="00284042">
            <w:pPr>
              <w:rPr>
                <w:sz w:val="20"/>
                <w:szCs w:val="20"/>
              </w:rPr>
            </w:pPr>
            <w:r w:rsidRPr="00567A4A">
              <w:rPr>
                <w:sz w:val="20"/>
                <w:szCs w:val="20"/>
              </w:rPr>
              <w:t>0</w:t>
            </w:r>
            <w:r w:rsidR="00284042">
              <w:rPr>
                <w:sz w:val="20"/>
                <w:szCs w:val="20"/>
              </w:rPr>
              <w:t>.02</w:t>
            </w:r>
            <w:r w:rsidRPr="00567A4A">
              <w:rPr>
                <w:sz w:val="20"/>
                <w:szCs w:val="20"/>
              </w:rPr>
              <w:t xml:space="preserve"> (0.</w:t>
            </w:r>
            <w:r w:rsidR="00284042">
              <w:rPr>
                <w:sz w:val="20"/>
                <w:szCs w:val="20"/>
              </w:rPr>
              <w:t>83</w:t>
            </w:r>
            <w:r w:rsidRPr="00567A4A">
              <w:rPr>
                <w:sz w:val="20"/>
                <w:szCs w:val="20"/>
              </w:rPr>
              <w:t>)</w:t>
            </w:r>
          </w:p>
        </w:tc>
        <w:tc>
          <w:tcPr>
            <w:tcW w:w="826" w:type="dxa"/>
            <w:shd w:val="clear" w:color="auto" w:fill="auto"/>
          </w:tcPr>
          <w:p w14:paraId="19E4AD84" w14:textId="3DF06D4B" w:rsidR="009579B7" w:rsidRPr="00567A4A" w:rsidRDefault="009579B7" w:rsidP="004C1B78">
            <w:pPr>
              <w:rPr>
                <w:sz w:val="20"/>
                <w:szCs w:val="20"/>
              </w:rPr>
            </w:pPr>
            <w:r w:rsidRPr="00567A4A">
              <w:rPr>
                <w:sz w:val="20"/>
                <w:szCs w:val="20"/>
              </w:rPr>
              <w:t>-</w:t>
            </w:r>
            <w:r w:rsidR="00461677">
              <w:rPr>
                <w:sz w:val="20"/>
                <w:szCs w:val="20"/>
              </w:rPr>
              <w:t>0.06 (0.48</w:t>
            </w:r>
            <w:r w:rsidRPr="00567A4A">
              <w:rPr>
                <w:sz w:val="20"/>
                <w:szCs w:val="20"/>
              </w:rPr>
              <w:t>)</w:t>
            </w:r>
          </w:p>
        </w:tc>
        <w:tc>
          <w:tcPr>
            <w:tcW w:w="842" w:type="dxa"/>
            <w:shd w:val="clear" w:color="auto" w:fill="auto"/>
          </w:tcPr>
          <w:p w14:paraId="74E15134" w14:textId="52736762" w:rsidR="009579B7" w:rsidRPr="00567A4A" w:rsidRDefault="00461677" w:rsidP="004C1B78">
            <w:pPr>
              <w:rPr>
                <w:sz w:val="20"/>
                <w:szCs w:val="20"/>
              </w:rPr>
            </w:pPr>
            <w:r>
              <w:rPr>
                <w:sz w:val="20"/>
                <w:szCs w:val="20"/>
              </w:rPr>
              <w:t>0.07 (0.4</w:t>
            </w:r>
            <w:r w:rsidR="009579B7" w:rsidRPr="00567A4A">
              <w:rPr>
                <w:sz w:val="20"/>
                <w:szCs w:val="20"/>
              </w:rPr>
              <w:t>4)</w:t>
            </w:r>
          </w:p>
        </w:tc>
        <w:tc>
          <w:tcPr>
            <w:tcW w:w="847" w:type="dxa"/>
            <w:shd w:val="clear" w:color="auto" w:fill="auto"/>
          </w:tcPr>
          <w:p w14:paraId="02F53733" w14:textId="7B1CC919" w:rsidR="009579B7" w:rsidRPr="00567A4A" w:rsidRDefault="00461677" w:rsidP="00461677">
            <w:pPr>
              <w:rPr>
                <w:sz w:val="20"/>
                <w:szCs w:val="20"/>
              </w:rPr>
            </w:pPr>
            <w:r>
              <w:rPr>
                <w:sz w:val="20"/>
                <w:szCs w:val="20"/>
              </w:rPr>
              <w:t>-0.03</w:t>
            </w:r>
            <w:r w:rsidR="009579B7" w:rsidRPr="00567A4A">
              <w:rPr>
                <w:sz w:val="20"/>
                <w:szCs w:val="20"/>
              </w:rPr>
              <w:t xml:space="preserve"> (0.</w:t>
            </w:r>
            <w:r>
              <w:rPr>
                <w:sz w:val="20"/>
                <w:szCs w:val="20"/>
              </w:rPr>
              <w:t>73</w:t>
            </w:r>
            <w:r w:rsidR="009579B7" w:rsidRPr="00567A4A">
              <w:rPr>
                <w:sz w:val="20"/>
                <w:szCs w:val="20"/>
              </w:rPr>
              <w:t>)</w:t>
            </w:r>
          </w:p>
        </w:tc>
        <w:tc>
          <w:tcPr>
            <w:tcW w:w="957" w:type="dxa"/>
            <w:shd w:val="clear" w:color="auto" w:fill="auto"/>
          </w:tcPr>
          <w:p w14:paraId="14534405" w14:textId="7462563E" w:rsidR="009579B7" w:rsidRPr="00567A4A" w:rsidRDefault="009579B7" w:rsidP="00461677">
            <w:pPr>
              <w:rPr>
                <w:sz w:val="20"/>
                <w:szCs w:val="20"/>
              </w:rPr>
            </w:pPr>
            <w:r w:rsidRPr="00567A4A">
              <w:rPr>
                <w:sz w:val="20"/>
                <w:szCs w:val="20"/>
              </w:rPr>
              <w:t>-</w:t>
            </w:r>
            <w:r w:rsidR="00461677">
              <w:rPr>
                <w:sz w:val="20"/>
                <w:szCs w:val="20"/>
              </w:rPr>
              <w:t>0.02</w:t>
            </w:r>
            <w:r w:rsidRPr="00567A4A">
              <w:rPr>
                <w:sz w:val="20"/>
                <w:szCs w:val="20"/>
              </w:rPr>
              <w:t xml:space="preserve"> (0.</w:t>
            </w:r>
            <w:r w:rsidR="00461677">
              <w:rPr>
                <w:sz w:val="20"/>
                <w:szCs w:val="20"/>
              </w:rPr>
              <w:t>83</w:t>
            </w:r>
            <w:r w:rsidRPr="00567A4A">
              <w:rPr>
                <w:sz w:val="20"/>
                <w:szCs w:val="20"/>
              </w:rPr>
              <w:t>)</w:t>
            </w:r>
          </w:p>
        </w:tc>
        <w:tc>
          <w:tcPr>
            <w:tcW w:w="957" w:type="dxa"/>
            <w:shd w:val="clear" w:color="auto" w:fill="auto"/>
          </w:tcPr>
          <w:p w14:paraId="596538E7" w14:textId="4F3E4551" w:rsidR="009579B7" w:rsidRPr="00567A4A" w:rsidRDefault="009579B7" w:rsidP="00461677">
            <w:pPr>
              <w:rPr>
                <w:sz w:val="20"/>
                <w:szCs w:val="20"/>
              </w:rPr>
            </w:pPr>
            <w:r w:rsidRPr="00567A4A">
              <w:rPr>
                <w:sz w:val="20"/>
                <w:szCs w:val="20"/>
              </w:rPr>
              <w:t>0</w:t>
            </w:r>
            <w:r w:rsidR="00461677">
              <w:rPr>
                <w:sz w:val="20"/>
                <w:szCs w:val="20"/>
              </w:rPr>
              <w:t>.08</w:t>
            </w:r>
            <w:r w:rsidRPr="00567A4A">
              <w:rPr>
                <w:sz w:val="20"/>
                <w:szCs w:val="20"/>
              </w:rPr>
              <w:t xml:space="preserve"> (0.</w:t>
            </w:r>
            <w:r w:rsidR="00461677">
              <w:rPr>
                <w:sz w:val="20"/>
                <w:szCs w:val="20"/>
              </w:rPr>
              <w:t>41</w:t>
            </w:r>
            <w:r w:rsidRPr="00567A4A">
              <w:rPr>
                <w:sz w:val="20"/>
                <w:szCs w:val="20"/>
              </w:rPr>
              <w:t>)</w:t>
            </w:r>
          </w:p>
        </w:tc>
      </w:tr>
      <w:tr w:rsidR="009579B7" w:rsidRPr="004C1B78" w14:paraId="6BC62147" w14:textId="77777777" w:rsidTr="009579B7">
        <w:tc>
          <w:tcPr>
            <w:tcW w:w="1087" w:type="dxa"/>
            <w:shd w:val="clear" w:color="auto" w:fill="auto"/>
          </w:tcPr>
          <w:p w14:paraId="3A4D725D" w14:textId="77777777" w:rsidR="009579B7" w:rsidRPr="00567A4A" w:rsidRDefault="009579B7" w:rsidP="004C1B78">
            <w:pPr>
              <w:rPr>
                <w:b/>
                <w:sz w:val="20"/>
                <w:szCs w:val="20"/>
              </w:rPr>
            </w:pPr>
            <w:r w:rsidRPr="00567A4A">
              <w:rPr>
                <w:b/>
                <w:sz w:val="20"/>
                <w:szCs w:val="20"/>
              </w:rPr>
              <w:t xml:space="preserve">Cerebellum </w:t>
            </w:r>
            <w:proofErr w:type="spellStart"/>
            <w:r w:rsidRPr="00567A4A">
              <w:rPr>
                <w:b/>
                <w:sz w:val="20"/>
                <w:szCs w:val="20"/>
              </w:rPr>
              <w:t>Cortex_R</w:t>
            </w:r>
            <w:proofErr w:type="spellEnd"/>
          </w:p>
        </w:tc>
        <w:tc>
          <w:tcPr>
            <w:tcW w:w="952" w:type="dxa"/>
            <w:shd w:val="clear" w:color="auto" w:fill="auto"/>
          </w:tcPr>
          <w:p w14:paraId="48293426" w14:textId="77777777" w:rsidR="009579B7" w:rsidRPr="00567A4A" w:rsidRDefault="009579B7" w:rsidP="004C1B78">
            <w:pPr>
              <w:rPr>
                <w:sz w:val="20"/>
                <w:szCs w:val="20"/>
              </w:rPr>
            </w:pPr>
            <w:r w:rsidRPr="00567A4A">
              <w:rPr>
                <w:sz w:val="20"/>
                <w:szCs w:val="20"/>
              </w:rPr>
              <w:t>0.05 (0.62)</w:t>
            </w:r>
          </w:p>
        </w:tc>
        <w:tc>
          <w:tcPr>
            <w:tcW w:w="854" w:type="dxa"/>
          </w:tcPr>
          <w:p w14:paraId="675E6B36" w14:textId="64E753A8" w:rsidR="009579B7" w:rsidRPr="00567A4A" w:rsidRDefault="00285A44" w:rsidP="004C1B78">
            <w:pPr>
              <w:rPr>
                <w:sz w:val="20"/>
                <w:szCs w:val="20"/>
              </w:rPr>
            </w:pPr>
            <w:r>
              <w:rPr>
                <w:sz w:val="20"/>
                <w:szCs w:val="20"/>
              </w:rPr>
              <w:t>0.05 (0.59)</w:t>
            </w:r>
          </w:p>
        </w:tc>
        <w:tc>
          <w:tcPr>
            <w:tcW w:w="854" w:type="dxa"/>
            <w:shd w:val="clear" w:color="auto" w:fill="auto"/>
          </w:tcPr>
          <w:p w14:paraId="6FC271E4" w14:textId="359A7434" w:rsidR="009579B7" w:rsidRPr="00567A4A" w:rsidRDefault="00F0379C" w:rsidP="004C1B78">
            <w:pPr>
              <w:rPr>
                <w:sz w:val="20"/>
                <w:szCs w:val="20"/>
              </w:rPr>
            </w:pPr>
            <w:r>
              <w:rPr>
                <w:sz w:val="20"/>
                <w:szCs w:val="20"/>
              </w:rPr>
              <w:t>-0.04 (0.66</w:t>
            </w:r>
            <w:r w:rsidR="009579B7" w:rsidRPr="00567A4A">
              <w:rPr>
                <w:sz w:val="20"/>
                <w:szCs w:val="20"/>
              </w:rPr>
              <w:t>)</w:t>
            </w:r>
          </w:p>
        </w:tc>
        <w:tc>
          <w:tcPr>
            <w:tcW w:w="840" w:type="dxa"/>
            <w:shd w:val="clear" w:color="auto" w:fill="auto"/>
          </w:tcPr>
          <w:p w14:paraId="11981ABD" w14:textId="37A92506" w:rsidR="009579B7" w:rsidRPr="00567A4A" w:rsidRDefault="00284042" w:rsidP="004C1B78">
            <w:pPr>
              <w:rPr>
                <w:sz w:val="20"/>
                <w:szCs w:val="20"/>
              </w:rPr>
            </w:pPr>
            <w:r>
              <w:rPr>
                <w:sz w:val="20"/>
                <w:szCs w:val="20"/>
              </w:rPr>
              <w:t>0.002 (0.98</w:t>
            </w:r>
            <w:r w:rsidR="009579B7" w:rsidRPr="00567A4A">
              <w:rPr>
                <w:sz w:val="20"/>
                <w:szCs w:val="20"/>
              </w:rPr>
              <w:t>)</w:t>
            </w:r>
          </w:p>
        </w:tc>
        <w:tc>
          <w:tcPr>
            <w:tcW w:w="854" w:type="dxa"/>
            <w:shd w:val="clear" w:color="auto" w:fill="auto"/>
          </w:tcPr>
          <w:p w14:paraId="13466F26" w14:textId="056A9D38" w:rsidR="009579B7" w:rsidRPr="00567A4A" w:rsidRDefault="00284042" w:rsidP="004C1B78">
            <w:pPr>
              <w:rPr>
                <w:sz w:val="20"/>
                <w:szCs w:val="20"/>
              </w:rPr>
            </w:pPr>
            <w:r>
              <w:rPr>
                <w:sz w:val="20"/>
                <w:szCs w:val="20"/>
              </w:rPr>
              <w:t>0.01 (0.92</w:t>
            </w:r>
            <w:r w:rsidR="009579B7" w:rsidRPr="00567A4A">
              <w:rPr>
                <w:sz w:val="20"/>
                <w:szCs w:val="20"/>
              </w:rPr>
              <w:t>)</w:t>
            </w:r>
          </w:p>
        </w:tc>
        <w:tc>
          <w:tcPr>
            <w:tcW w:w="826" w:type="dxa"/>
            <w:shd w:val="clear" w:color="auto" w:fill="auto"/>
          </w:tcPr>
          <w:p w14:paraId="1022B7E9" w14:textId="58A2EC03" w:rsidR="009579B7" w:rsidRPr="00567A4A" w:rsidRDefault="00461677" w:rsidP="004C1B78">
            <w:pPr>
              <w:rPr>
                <w:sz w:val="20"/>
                <w:szCs w:val="20"/>
              </w:rPr>
            </w:pPr>
            <w:r>
              <w:rPr>
                <w:sz w:val="20"/>
                <w:szCs w:val="20"/>
              </w:rPr>
              <w:t>-0.03 (0.77</w:t>
            </w:r>
            <w:r w:rsidR="009579B7" w:rsidRPr="00567A4A">
              <w:rPr>
                <w:sz w:val="20"/>
                <w:szCs w:val="20"/>
              </w:rPr>
              <w:t>)</w:t>
            </w:r>
          </w:p>
        </w:tc>
        <w:tc>
          <w:tcPr>
            <w:tcW w:w="842" w:type="dxa"/>
            <w:shd w:val="clear" w:color="auto" w:fill="auto"/>
          </w:tcPr>
          <w:p w14:paraId="1EF6147A" w14:textId="783D9500" w:rsidR="009579B7" w:rsidRPr="00567A4A" w:rsidRDefault="00461677" w:rsidP="00461677">
            <w:pPr>
              <w:rPr>
                <w:sz w:val="20"/>
                <w:szCs w:val="20"/>
              </w:rPr>
            </w:pPr>
            <w:r>
              <w:rPr>
                <w:sz w:val="20"/>
                <w:szCs w:val="20"/>
              </w:rPr>
              <w:t>0.03</w:t>
            </w:r>
            <w:r w:rsidR="009579B7" w:rsidRPr="00567A4A">
              <w:rPr>
                <w:sz w:val="20"/>
                <w:szCs w:val="20"/>
              </w:rPr>
              <w:t xml:space="preserve"> (0.</w:t>
            </w:r>
            <w:r>
              <w:rPr>
                <w:sz w:val="20"/>
                <w:szCs w:val="20"/>
              </w:rPr>
              <w:t>75</w:t>
            </w:r>
            <w:r w:rsidR="009579B7" w:rsidRPr="00567A4A">
              <w:rPr>
                <w:sz w:val="20"/>
                <w:szCs w:val="20"/>
              </w:rPr>
              <w:t>)</w:t>
            </w:r>
          </w:p>
        </w:tc>
        <w:tc>
          <w:tcPr>
            <w:tcW w:w="847" w:type="dxa"/>
            <w:shd w:val="clear" w:color="auto" w:fill="auto"/>
          </w:tcPr>
          <w:p w14:paraId="617C53F3" w14:textId="1286094A" w:rsidR="009579B7" w:rsidRPr="00567A4A" w:rsidRDefault="00461677" w:rsidP="004C1B78">
            <w:pPr>
              <w:rPr>
                <w:sz w:val="20"/>
                <w:szCs w:val="20"/>
              </w:rPr>
            </w:pPr>
            <w:r>
              <w:rPr>
                <w:sz w:val="20"/>
                <w:szCs w:val="20"/>
              </w:rPr>
              <w:t>-0.11 (0.23</w:t>
            </w:r>
            <w:r w:rsidR="009579B7" w:rsidRPr="00567A4A">
              <w:rPr>
                <w:sz w:val="20"/>
                <w:szCs w:val="20"/>
              </w:rPr>
              <w:t>)</w:t>
            </w:r>
          </w:p>
        </w:tc>
        <w:tc>
          <w:tcPr>
            <w:tcW w:w="957" w:type="dxa"/>
            <w:shd w:val="clear" w:color="auto" w:fill="auto"/>
          </w:tcPr>
          <w:p w14:paraId="79AD83FD" w14:textId="5120AEB6" w:rsidR="009579B7" w:rsidRPr="00567A4A" w:rsidRDefault="00461677" w:rsidP="004C1B78">
            <w:pPr>
              <w:rPr>
                <w:sz w:val="20"/>
                <w:szCs w:val="20"/>
              </w:rPr>
            </w:pPr>
            <w:r>
              <w:rPr>
                <w:sz w:val="20"/>
                <w:szCs w:val="20"/>
              </w:rPr>
              <w:t>-0.004 (0.96</w:t>
            </w:r>
            <w:r w:rsidR="009579B7" w:rsidRPr="00567A4A">
              <w:rPr>
                <w:sz w:val="20"/>
                <w:szCs w:val="20"/>
              </w:rPr>
              <w:t>)</w:t>
            </w:r>
          </w:p>
        </w:tc>
        <w:tc>
          <w:tcPr>
            <w:tcW w:w="957" w:type="dxa"/>
            <w:shd w:val="clear" w:color="auto" w:fill="auto"/>
          </w:tcPr>
          <w:p w14:paraId="10AD84A3" w14:textId="52E78B63" w:rsidR="009579B7" w:rsidRPr="00567A4A" w:rsidRDefault="00461677" w:rsidP="004C1B78">
            <w:pPr>
              <w:rPr>
                <w:sz w:val="20"/>
                <w:szCs w:val="20"/>
              </w:rPr>
            </w:pPr>
            <w:r>
              <w:rPr>
                <w:sz w:val="20"/>
                <w:szCs w:val="20"/>
              </w:rPr>
              <w:t>0.04 (0.66</w:t>
            </w:r>
            <w:r w:rsidR="009579B7" w:rsidRPr="00567A4A">
              <w:rPr>
                <w:sz w:val="20"/>
                <w:szCs w:val="20"/>
              </w:rPr>
              <w:t>)</w:t>
            </w:r>
          </w:p>
        </w:tc>
      </w:tr>
      <w:tr w:rsidR="009579B7" w:rsidRPr="004C1B78" w14:paraId="1DAFF3C6" w14:textId="77777777" w:rsidTr="009579B7">
        <w:tc>
          <w:tcPr>
            <w:tcW w:w="1087" w:type="dxa"/>
            <w:shd w:val="clear" w:color="auto" w:fill="auto"/>
          </w:tcPr>
          <w:p w14:paraId="2AF7863F" w14:textId="77777777" w:rsidR="009579B7" w:rsidRPr="00567A4A" w:rsidRDefault="009579B7" w:rsidP="004C1B78">
            <w:pPr>
              <w:rPr>
                <w:b/>
                <w:sz w:val="20"/>
                <w:szCs w:val="20"/>
              </w:rPr>
            </w:pPr>
            <w:r w:rsidRPr="00567A4A">
              <w:rPr>
                <w:b/>
                <w:sz w:val="20"/>
                <w:szCs w:val="20"/>
              </w:rPr>
              <w:t>Cerebellum WM_L</w:t>
            </w:r>
          </w:p>
        </w:tc>
        <w:tc>
          <w:tcPr>
            <w:tcW w:w="952" w:type="dxa"/>
            <w:shd w:val="clear" w:color="auto" w:fill="auto"/>
          </w:tcPr>
          <w:p w14:paraId="74E5F6A0" w14:textId="127D11A1" w:rsidR="009579B7" w:rsidRPr="00567A4A" w:rsidRDefault="00285A44" w:rsidP="004C1B78">
            <w:pPr>
              <w:rPr>
                <w:sz w:val="20"/>
                <w:szCs w:val="20"/>
              </w:rPr>
            </w:pPr>
            <w:r>
              <w:rPr>
                <w:sz w:val="20"/>
                <w:szCs w:val="20"/>
              </w:rPr>
              <w:t>-0.02 (0.86</w:t>
            </w:r>
            <w:r w:rsidR="009579B7" w:rsidRPr="00567A4A">
              <w:rPr>
                <w:sz w:val="20"/>
                <w:szCs w:val="20"/>
              </w:rPr>
              <w:t>)</w:t>
            </w:r>
          </w:p>
        </w:tc>
        <w:tc>
          <w:tcPr>
            <w:tcW w:w="854" w:type="dxa"/>
          </w:tcPr>
          <w:p w14:paraId="4144C2CE" w14:textId="631A0D66" w:rsidR="009579B7" w:rsidRPr="00567A4A" w:rsidRDefault="00285A44" w:rsidP="004C1B78">
            <w:pPr>
              <w:rPr>
                <w:sz w:val="20"/>
                <w:szCs w:val="20"/>
              </w:rPr>
            </w:pPr>
            <w:r>
              <w:rPr>
                <w:sz w:val="20"/>
                <w:szCs w:val="20"/>
              </w:rPr>
              <w:t>0.025 (0.79)</w:t>
            </w:r>
          </w:p>
        </w:tc>
        <w:tc>
          <w:tcPr>
            <w:tcW w:w="854" w:type="dxa"/>
            <w:shd w:val="clear" w:color="auto" w:fill="auto"/>
          </w:tcPr>
          <w:p w14:paraId="35334CDD" w14:textId="5AE9D9E0" w:rsidR="009579B7" w:rsidRPr="00567A4A" w:rsidRDefault="007A1E83" w:rsidP="007A1E83">
            <w:pPr>
              <w:rPr>
                <w:sz w:val="20"/>
                <w:szCs w:val="20"/>
              </w:rPr>
            </w:pPr>
            <w:r>
              <w:rPr>
                <w:sz w:val="20"/>
                <w:szCs w:val="20"/>
              </w:rPr>
              <w:t>0.02</w:t>
            </w:r>
            <w:r w:rsidR="009579B7" w:rsidRPr="00567A4A">
              <w:rPr>
                <w:sz w:val="20"/>
                <w:szCs w:val="20"/>
              </w:rPr>
              <w:t xml:space="preserve"> (0.</w:t>
            </w:r>
            <w:r>
              <w:rPr>
                <w:sz w:val="20"/>
                <w:szCs w:val="20"/>
              </w:rPr>
              <w:t>82</w:t>
            </w:r>
            <w:r w:rsidR="009579B7" w:rsidRPr="00567A4A">
              <w:rPr>
                <w:sz w:val="20"/>
                <w:szCs w:val="20"/>
              </w:rPr>
              <w:t>)</w:t>
            </w:r>
          </w:p>
        </w:tc>
        <w:tc>
          <w:tcPr>
            <w:tcW w:w="840" w:type="dxa"/>
            <w:shd w:val="clear" w:color="auto" w:fill="auto"/>
          </w:tcPr>
          <w:p w14:paraId="0C189421" w14:textId="7120032B" w:rsidR="009579B7" w:rsidRPr="00567A4A" w:rsidRDefault="009579B7" w:rsidP="00284042">
            <w:pPr>
              <w:rPr>
                <w:sz w:val="20"/>
                <w:szCs w:val="20"/>
              </w:rPr>
            </w:pPr>
            <w:r w:rsidRPr="00567A4A">
              <w:rPr>
                <w:sz w:val="20"/>
                <w:szCs w:val="20"/>
              </w:rPr>
              <w:t>-0.</w:t>
            </w:r>
            <w:r w:rsidR="00284042">
              <w:rPr>
                <w:sz w:val="20"/>
                <w:szCs w:val="20"/>
              </w:rPr>
              <w:t>1</w:t>
            </w:r>
            <w:r w:rsidRPr="00567A4A">
              <w:rPr>
                <w:sz w:val="20"/>
                <w:szCs w:val="20"/>
              </w:rPr>
              <w:t xml:space="preserve"> (0.</w:t>
            </w:r>
            <w:r w:rsidR="00284042">
              <w:rPr>
                <w:sz w:val="20"/>
                <w:szCs w:val="20"/>
              </w:rPr>
              <w:t>29</w:t>
            </w:r>
            <w:r w:rsidRPr="00567A4A">
              <w:rPr>
                <w:sz w:val="20"/>
                <w:szCs w:val="20"/>
              </w:rPr>
              <w:t>)</w:t>
            </w:r>
          </w:p>
        </w:tc>
        <w:tc>
          <w:tcPr>
            <w:tcW w:w="854" w:type="dxa"/>
            <w:shd w:val="clear" w:color="auto" w:fill="auto"/>
          </w:tcPr>
          <w:p w14:paraId="25F7614C" w14:textId="538872BD" w:rsidR="009579B7" w:rsidRPr="00567A4A" w:rsidRDefault="009579B7" w:rsidP="004C1B78">
            <w:pPr>
              <w:rPr>
                <w:sz w:val="20"/>
                <w:szCs w:val="20"/>
              </w:rPr>
            </w:pPr>
            <w:r w:rsidRPr="00567A4A">
              <w:rPr>
                <w:sz w:val="20"/>
                <w:szCs w:val="20"/>
              </w:rPr>
              <w:t>-</w:t>
            </w:r>
            <w:r w:rsidR="00284042">
              <w:rPr>
                <w:sz w:val="20"/>
                <w:szCs w:val="20"/>
              </w:rPr>
              <w:t>0.02 (0.79</w:t>
            </w:r>
            <w:r w:rsidRPr="00567A4A">
              <w:rPr>
                <w:sz w:val="20"/>
                <w:szCs w:val="20"/>
              </w:rPr>
              <w:t>)</w:t>
            </w:r>
          </w:p>
        </w:tc>
        <w:tc>
          <w:tcPr>
            <w:tcW w:w="826" w:type="dxa"/>
            <w:shd w:val="clear" w:color="auto" w:fill="auto"/>
          </w:tcPr>
          <w:p w14:paraId="1E5C7A00" w14:textId="796C977B" w:rsidR="009579B7" w:rsidRPr="00567A4A" w:rsidRDefault="00663A58" w:rsidP="00663A58">
            <w:pPr>
              <w:rPr>
                <w:sz w:val="20"/>
                <w:szCs w:val="20"/>
              </w:rPr>
            </w:pPr>
            <w:r>
              <w:rPr>
                <w:sz w:val="20"/>
                <w:szCs w:val="20"/>
              </w:rPr>
              <w:t>-0.11</w:t>
            </w:r>
            <w:r w:rsidR="009579B7" w:rsidRPr="00567A4A">
              <w:rPr>
                <w:sz w:val="20"/>
                <w:szCs w:val="20"/>
              </w:rPr>
              <w:t xml:space="preserve"> (0.2</w:t>
            </w:r>
            <w:r>
              <w:rPr>
                <w:sz w:val="20"/>
                <w:szCs w:val="20"/>
              </w:rPr>
              <w:t>2</w:t>
            </w:r>
            <w:r w:rsidR="009579B7" w:rsidRPr="00567A4A">
              <w:rPr>
                <w:sz w:val="20"/>
                <w:szCs w:val="20"/>
              </w:rPr>
              <w:t>)</w:t>
            </w:r>
          </w:p>
        </w:tc>
        <w:tc>
          <w:tcPr>
            <w:tcW w:w="842" w:type="dxa"/>
            <w:shd w:val="clear" w:color="auto" w:fill="auto"/>
          </w:tcPr>
          <w:p w14:paraId="5CC12039" w14:textId="01DCD40E" w:rsidR="009579B7" w:rsidRPr="00567A4A" w:rsidRDefault="009579B7" w:rsidP="004C1B78">
            <w:pPr>
              <w:rPr>
                <w:sz w:val="20"/>
                <w:szCs w:val="20"/>
              </w:rPr>
            </w:pPr>
            <w:r w:rsidRPr="00567A4A">
              <w:rPr>
                <w:sz w:val="20"/>
                <w:szCs w:val="20"/>
              </w:rPr>
              <w:t>0</w:t>
            </w:r>
            <w:r w:rsidR="00C50420">
              <w:rPr>
                <w:sz w:val="20"/>
                <w:szCs w:val="20"/>
              </w:rPr>
              <w:t>.02 (0.8</w:t>
            </w:r>
            <w:r w:rsidRPr="00567A4A">
              <w:rPr>
                <w:sz w:val="20"/>
                <w:szCs w:val="20"/>
              </w:rPr>
              <w:t>4)</w:t>
            </w:r>
          </w:p>
        </w:tc>
        <w:tc>
          <w:tcPr>
            <w:tcW w:w="847" w:type="dxa"/>
            <w:shd w:val="clear" w:color="auto" w:fill="auto"/>
          </w:tcPr>
          <w:p w14:paraId="77FE1CD2" w14:textId="5085132F" w:rsidR="009579B7" w:rsidRPr="00567A4A" w:rsidRDefault="00C50420" w:rsidP="004C1B78">
            <w:pPr>
              <w:rPr>
                <w:sz w:val="20"/>
                <w:szCs w:val="20"/>
              </w:rPr>
            </w:pPr>
            <w:r>
              <w:rPr>
                <w:sz w:val="20"/>
                <w:szCs w:val="20"/>
              </w:rPr>
              <w:t>-0.07 (0.4</w:t>
            </w:r>
            <w:r w:rsidR="009579B7" w:rsidRPr="00567A4A">
              <w:rPr>
                <w:sz w:val="20"/>
                <w:szCs w:val="20"/>
              </w:rPr>
              <w:t>7)</w:t>
            </w:r>
          </w:p>
        </w:tc>
        <w:tc>
          <w:tcPr>
            <w:tcW w:w="957" w:type="dxa"/>
            <w:shd w:val="clear" w:color="auto" w:fill="auto"/>
          </w:tcPr>
          <w:p w14:paraId="6AA496A1" w14:textId="425EA186" w:rsidR="009579B7" w:rsidRPr="00567A4A" w:rsidRDefault="00E34CB2" w:rsidP="00E34CB2">
            <w:pPr>
              <w:rPr>
                <w:sz w:val="20"/>
                <w:szCs w:val="20"/>
              </w:rPr>
            </w:pPr>
            <w:r>
              <w:rPr>
                <w:sz w:val="20"/>
                <w:szCs w:val="20"/>
              </w:rPr>
              <w:t>-0.07</w:t>
            </w:r>
            <w:r w:rsidR="009579B7" w:rsidRPr="00567A4A">
              <w:rPr>
                <w:sz w:val="20"/>
                <w:szCs w:val="20"/>
              </w:rPr>
              <w:t xml:space="preserve"> (0.</w:t>
            </w:r>
            <w:r>
              <w:rPr>
                <w:sz w:val="20"/>
                <w:szCs w:val="20"/>
              </w:rPr>
              <w:t>47</w:t>
            </w:r>
            <w:r w:rsidR="009579B7" w:rsidRPr="00567A4A">
              <w:rPr>
                <w:sz w:val="20"/>
                <w:szCs w:val="20"/>
              </w:rPr>
              <w:t>)</w:t>
            </w:r>
          </w:p>
        </w:tc>
        <w:tc>
          <w:tcPr>
            <w:tcW w:w="957" w:type="dxa"/>
            <w:shd w:val="clear" w:color="auto" w:fill="auto"/>
          </w:tcPr>
          <w:p w14:paraId="47337F85" w14:textId="58F29540" w:rsidR="009579B7" w:rsidRPr="00567A4A" w:rsidRDefault="0079183F" w:rsidP="004C1B78">
            <w:pPr>
              <w:rPr>
                <w:sz w:val="20"/>
                <w:szCs w:val="20"/>
              </w:rPr>
            </w:pPr>
            <w:r>
              <w:rPr>
                <w:sz w:val="20"/>
                <w:szCs w:val="20"/>
              </w:rPr>
              <w:t>-</w:t>
            </w:r>
            <w:r w:rsidR="009579B7" w:rsidRPr="00567A4A">
              <w:rPr>
                <w:sz w:val="20"/>
                <w:szCs w:val="20"/>
              </w:rPr>
              <w:t>0</w:t>
            </w:r>
            <w:r>
              <w:rPr>
                <w:sz w:val="20"/>
                <w:szCs w:val="20"/>
              </w:rPr>
              <w:t>.004 (0.97</w:t>
            </w:r>
            <w:r w:rsidR="009579B7" w:rsidRPr="00567A4A">
              <w:rPr>
                <w:sz w:val="20"/>
                <w:szCs w:val="20"/>
              </w:rPr>
              <w:t>)</w:t>
            </w:r>
          </w:p>
        </w:tc>
      </w:tr>
      <w:tr w:rsidR="009579B7" w:rsidRPr="004C1B78" w14:paraId="06CDEF17" w14:textId="77777777" w:rsidTr="009579B7">
        <w:tc>
          <w:tcPr>
            <w:tcW w:w="1087" w:type="dxa"/>
            <w:shd w:val="clear" w:color="auto" w:fill="auto"/>
          </w:tcPr>
          <w:p w14:paraId="0227C056" w14:textId="77777777" w:rsidR="009579B7" w:rsidRPr="00567A4A" w:rsidRDefault="009579B7" w:rsidP="004C1B78">
            <w:pPr>
              <w:rPr>
                <w:b/>
                <w:sz w:val="20"/>
                <w:szCs w:val="20"/>
              </w:rPr>
            </w:pPr>
            <w:r w:rsidRPr="00567A4A">
              <w:rPr>
                <w:b/>
                <w:sz w:val="20"/>
                <w:szCs w:val="20"/>
              </w:rPr>
              <w:t xml:space="preserve">Cerebellum </w:t>
            </w:r>
            <w:proofErr w:type="spellStart"/>
            <w:r w:rsidRPr="00567A4A">
              <w:rPr>
                <w:b/>
                <w:sz w:val="20"/>
                <w:szCs w:val="20"/>
              </w:rPr>
              <w:t>Cortex_L</w:t>
            </w:r>
            <w:proofErr w:type="spellEnd"/>
          </w:p>
        </w:tc>
        <w:tc>
          <w:tcPr>
            <w:tcW w:w="952" w:type="dxa"/>
            <w:shd w:val="clear" w:color="auto" w:fill="auto"/>
          </w:tcPr>
          <w:p w14:paraId="4A0A48B5" w14:textId="749C0A08" w:rsidR="009579B7" w:rsidRPr="00567A4A" w:rsidRDefault="00285A44" w:rsidP="004C1B78">
            <w:pPr>
              <w:rPr>
                <w:sz w:val="20"/>
                <w:szCs w:val="20"/>
              </w:rPr>
            </w:pPr>
            <w:r>
              <w:rPr>
                <w:sz w:val="20"/>
                <w:szCs w:val="20"/>
              </w:rPr>
              <w:t>0.06 (0.55</w:t>
            </w:r>
            <w:r w:rsidR="009579B7" w:rsidRPr="00567A4A">
              <w:rPr>
                <w:sz w:val="20"/>
                <w:szCs w:val="20"/>
              </w:rPr>
              <w:t>)</w:t>
            </w:r>
          </w:p>
        </w:tc>
        <w:tc>
          <w:tcPr>
            <w:tcW w:w="854" w:type="dxa"/>
          </w:tcPr>
          <w:p w14:paraId="36C89172" w14:textId="6A028781" w:rsidR="009579B7" w:rsidRPr="00567A4A" w:rsidRDefault="00917E52" w:rsidP="004C1B78">
            <w:pPr>
              <w:rPr>
                <w:sz w:val="20"/>
                <w:szCs w:val="20"/>
              </w:rPr>
            </w:pPr>
            <w:r>
              <w:rPr>
                <w:sz w:val="20"/>
                <w:szCs w:val="20"/>
              </w:rPr>
              <w:t>0.06 (0.54)</w:t>
            </w:r>
          </w:p>
        </w:tc>
        <w:tc>
          <w:tcPr>
            <w:tcW w:w="854" w:type="dxa"/>
            <w:shd w:val="clear" w:color="auto" w:fill="auto"/>
          </w:tcPr>
          <w:p w14:paraId="07941AB5" w14:textId="167196CB" w:rsidR="009579B7" w:rsidRPr="00567A4A" w:rsidRDefault="007A1E83" w:rsidP="007A1E83">
            <w:pPr>
              <w:rPr>
                <w:sz w:val="20"/>
                <w:szCs w:val="20"/>
              </w:rPr>
            </w:pPr>
            <w:r>
              <w:rPr>
                <w:sz w:val="20"/>
                <w:szCs w:val="20"/>
              </w:rPr>
              <w:t>-0.03</w:t>
            </w:r>
            <w:r w:rsidR="009579B7" w:rsidRPr="00567A4A">
              <w:rPr>
                <w:sz w:val="20"/>
                <w:szCs w:val="20"/>
              </w:rPr>
              <w:t xml:space="preserve"> (0.</w:t>
            </w:r>
            <w:r>
              <w:rPr>
                <w:sz w:val="20"/>
                <w:szCs w:val="20"/>
              </w:rPr>
              <w:t>74</w:t>
            </w:r>
            <w:r w:rsidR="009579B7" w:rsidRPr="00567A4A">
              <w:rPr>
                <w:sz w:val="20"/>
                <w:szCs w:val="20"/>
              </w:rPr>
              <w:t>)</w:t>
            </w:r>
          </w:p>
        </w:tc>
        <w:tc>
          <w:tcPr>
            <w:tcW w:w="840" w:type="dxa"/>
            <w:shd w:val="clear" w:color="auto" w:fill="auto"/>
          </w:tcPr>
          <w:p w14:paraId="57D138CA" w14:textId="4C38CB20" w:rsidR="009579B7" w:rsidRPr="00567A4A" w:rsidRDefault="009579B7" w:rsidP="004C1B78">
            <w:pPr>
              <w:rPr>
                <w:sz w:val="20"/>
                <w:szCs w:val="20"/>
              </w:rPr>
            </w:pPr>
            <w:r w:rsidRPr="00567A4A">
              <w:rPr>
                <w:sz w:val="20"/>
                <w:szCs w:val="20"/>
              </w:rPr>
              <w:t>-</w:t>
            </w:r>
            <w:r w:rsidR="00284042">
              <w:rPr>
                <w:sz w:val="20"/>
                <w:szCs w:val="20"/>
              </w:rPr>
              <w:t>0.01 (0.88</w:t>
            </w:r>
            <w:r w:rsidRPr="00567A4A">
              <w:rPr>
                <w:sz w:val="20"/>
                <w:szCs w:val="20"/>
              </w:rPr>
              <w:t>)</w:t>
            </w:r>
          </w:p>
        </w:tc>
        <w:tc>
          <w:tcPr>
            <w:tcW w:w="854" w:type="dxa"/>
            <w:shd w:val="clear" w:color="auto" w:fill="auto"/>
          </w:tcPr>
          <w:p w14:paraId="107C8F94" w14:textId="7572A379" w:rsidR="009579B7" w:rsidRPr="00567A4A" w:rsidRDefault="00284042" w:rsidP="004C1B78">
            <w:pPr>
              <w:rPr>
                <w:sz w:val="20"/>
                <w:szCs w:val="20"/>
              </w:rPr>
            </w:pPr>
            <w:r>
              <w:rPr>
                <w:sz w:val="20"/>
                <w:szCs w:val="20"/>
              </w:rPr>
              <w:t>0.03 (0.77</w:t>
            </w:r>
            <w:r w:rsidR="009579B7" w:rsidRPr="00567A4A">
              <w:rPr>
                <w:sz w:val="20"/>
                <w:szCs w:val="20"/>
              </w:rPr>
              <w:t>)</w:t>
            </w:r>
          </w:p>
        </w:tc>
        <w:tc>
          <w:tcPr>
            <w:tcW w:w="826" w:type="dxa"/>
            <w:shd w:val="clear" w:color="auto" w:fill="auto"/>
          </w:tcPr>
          <w:p w14:paraId="159CCD5A" w14:textId="336D4181" w:rsidR="009579B7" w:rsidRPr="00567A4A" w:rsidRDefault="00663A58" w:rsidP="004C1B78">
            <w:pPr>
              <w:rPr>
                <w:sz w:val="20"/>
                <w:szCs w:val="20"/>
              </w:rPr>
            </w:pPr>
            <w:r>
              <w:rPr>
                <w:sz w:val="20"/>
                <w:szCs w:val="20"/>
              </w:rPr>
              <w:t>0.001 (0.99</w:t>
            </w:r>
            <w:r w:rsidR="009579B7" w:rsidRPr="00567A4A">
              <w:rPr>
                <w:sz w:val="20"/>
                <w:szCs w:val="20"/>
              </w:rPr>
              <w:t>)</w:t>
            </w:r>
          </w:p>
        </w:tc>
        <w:tc>
          <w:tcPr>
            <w:tcW w:w="842" w:type="dxa"/>
            <w:shd w:val="clear" w:color="auto" w:fill="auto"/>
          </w:tcPr>
          <w:p w14:paraId="3B7EAC18" w14:textId="2D02EF5A" w:rsidR="009579B7" w:rsidRPr="00567A4A" w:rsidRDefault="009579B7" w:rsidP="00C50420">
            <w:pPr>
              <w:rPr>
                <w:sz w:val="20"/>
                <w:szCs w:val="20"/>
              </w:rPr>
            </w:pPr>
            <w:r w:rsidRPr="00567A4A">
              <w:rPr>
                <w:sz w:val="20"/>
                <w:szCs w:val="20"/>
              </w:rPr>
              <w:t>0.06 (0.</w:t>
            </w:r>
            <w:r w:rsidR="00C50420">
              <w:rPr>
                <w:sz w:val="20"/>
                <w:szCs w:val="20"/>
              </w:rPr>
              <w:t>56</w:t>
            </w:r>
            <w:r w:rsidRPr="00567A4A">
              <w:rPr>
                <w:sz w:val="20"/>
                <w:szCs w:val="20"/>
              </w:rPr>
              <w:t>)</w:t>
            </w:r>
          </w:p>
        </w:tc>
        <w:tc>
          <w:tcPr>
            <w:tcW w:w="847" w:type="dxa"/>
            <w:shd w:val="clear" w:color="auto" w:fill="auto"/>
          </w:tcPr>
          <w:p w14:paraId="059CE99E" w14:textId="184BDDD4" w:rsidR="009579B7" w:rsidRPr="00567A4A" w:rsidRDefault="009579B7" w:rsidP="004C1B78">
            <w:pPr>
              <w:rPr>
                <w:sz w:val="20"/>
                <w:szCs w:val="20"/>
              </w:rPr>
            </w:pPr>
            <w:r w:rsidRPr="00567A4A">
              <w:rPr>
                <w:sz w:val="20"/>
                <w:szCs w:val="20"/>
              </w:rPr>
              <w:t>-</w:t>
            </w:r>
            <w:r w:rsidR="00C50420">
              <w:rPr>
                <w:sz w:val="20"/>
                <w:szCs w:val="20"/>
              </w:rPr>
              <w:t>0.11 (0.24</w:t>
            </w:r>
            <w:r w:rsidRPr="00567A4A">
              <w:rPr>
                <w:sz w:val="20"/>
                <w:szCs w:val="20"/>
              </w:rPr>
              <w:t>)</w:t>
            </w:r>
          </w:p>
        </w:tc>
        <w:tc>
          <w:tcPr>
            <w:tcW w:w="957" w:type="dxa"/>
            <w:shd w:val="clear" w:color="auto" w:fill="auto"/>
          </w:tcPr>
          <w:p w14:paraId="6FBAFE27" w14:textId="7FA3B840" w:rsidR="009579B7" w:rsidRPr="00567A4A" w:rsidRDefault="00E34CB2" w:rsidP="004C1B78">
            <w:pPr>
              <w:rPr>
                <w:sz w:val="20"/>
                <w:szCs w:val="20"/>
              </w:rPr>
            </w:pPr>
            <w:r>
              <w:rPr>
                <w:sz w:val="20"/>
                <w:szCs w:val="20"/>
              </w:rPr>
              <w:t>-0.04 (0.65</w:t>
            </w:r>
            <w:r w:rsidR="009579B7" w:rsidRPr="00567A4A">
              <w:rPr>
                <w:sz w:val="20"/>
                <w:szCs w:val="20"/>
              </w:rPr>
              <w:t>)</w:t>
            </w:r>
          </w:p>
        </w:tc>
        <w:tc>
          <w:tcPr>
            <w:tcW w:w="957" w:type="dxa"/>
            <w:shd w:val="clear" w:color="auto" w:fill="auto"/>
          </w:tcPr>
          <w:p w14:paraId="73B5215D" w14:textId="4984ABE9" w:rsidR="009579B7" w:rsidRPr="00567A4A" w:rsidRDefault="0079183F" w:rsidP="004C1B78">
            <w:pPr>
              <w:rPr>
                <w:sz w:val="20"/>
                <w:szCs w:val="20"/>
              </w:rPr>
            </w:pPr>
            <w:r>
              <w:rPr>
                <w:sz w:val="20"/>
                <w:szCs w:val="20"/>
              </w:rPr>
              <w:t>0.04 (0.64</w:t>
            </w:r>
            <w:r w:rsidR="009579B7" w:rsidRPr="00567A4A">
              <w:rPr>
                <w:sz w:val="20"/>
                <w:szCs w:val="20"/>
              </w:rPr>
              <w:t>)</w:t>
            </w:r>
          </w:p>
        </w:tc>
      </w:tr>
      <w:tr w:rsidR="009579B7" w:rsidRPr="004C1B78" w14:paraId="4A6128AD" w14:textId="77777777" w:rsidTr="009579B7">
        <w:tc>
          <w:tcPr>
            <w:tcW w:w="1087" w:type="dxa"/>
            <w:shd w:val="clear" w:color="auto" w:fill="auto"/>
          </w:tcPr>
          <w:p w14:paraId="2559F40A" w14:textId="77777777" w:rsidR="009579B7" w:rsidRPr="00567A4A" w:rsidRDefault="009579B7" w:rsidP="004C1B78">
            <w:pPr>
              <w:rPr>
                <w:b/>
                <w:sz w:val="20"/>
                <w:szCs w:val="20"/>
              </w:rPr>
            </w:pPr>
            <w:r w:rsidRPr="00567A4A">
              <w:rPr>
                <w:b/>
                <w:sz w:val="20"/>
                <w:szCs w:val="20"/>
              </w:rPr>
              <w:t xml:space="preserve">Lateral </w:t>
            </w:r>
            <w:proofErr w:type="spellStart"/>
            <w:r w:rsidRPr="00567A4A">
              <w:rPr>
                <w:b/>
                <w:sz w:val="20"/>
                <w:szCs w:val="20"/>
              </w:rPr>
              <w:t>Ventricle_R</w:t>
            </w:r>
            <w:proofErr w:type="spellEnd"/>
          </w:p>
        </w:tc>
        <w:tc>
          <w:tcPr>
            <w:tcW w:w="952" w:type="dxa"/>
            <w:shd w:val="clear" w:color="auto" w:fill="auto"/>
          </w:tcPr>
          <w:p w14:paraId="06F3DD55" w14:textId="0EE7A7DF" w:rsidR="009579B7" w:rsidRPr="00567A4A" w:rsidRDefault="00285A44" w:rsidP="004C1B78">
            <w:pPr>
              <w:rPr>
                <w:b/>
                <w:sz w:val="20"/>
                <w:szCs w:val="20"/>
              </w:rPr>
            </w:pPr>
            <w:r>
              <w:rPr>
                <w:b/>
                <w:sz w:val="20"/>
                <w:szCs w:val="20"/>
              </w:rPr>
              <w:t>0.24</w:t>
            </w:r>
            <w:r w:rsidR="00065511">
              <w:rPr>
                <w:b/>
                <w:sz w:val="20"/>
                <w:szCs w:val="20"/>
              </w:rPr>
              <w:t xml:space="preserve"> (0.008</w:t>
            </w:r>
            <w:r w:rsidR="009579B7" w:rsidRPr="00567A4A">
              <w:rPr>
                <w:b/>
                <w:sz w:val="20"/>
                <w:szCs w:val="20"/>
              </w:rPr>
              <w:t>)*</w:t>
            </w:r>
          </w:p>
        </w:tc>
        <w:tc>
          <w:tcPr>
            <w:tcW w:w="854" w:type="dxa"/>
          </w:tcPr>
          <w:p w14:paraId="2884C2FD" w14:textId="650684B9" w:rsidR="009579B7" w:rsidRPr="008D5625" w:rsidRDefault="008D5625" w:rsidP="004C1B78">
            <w:pPr>
              <w:rPr>
                <w:b/>
                <w:sz w:val="20"/>
                <w:szCs w:val="20"/>
              </w:rPr>
            </w:pPr>
            <w:r w:rsidRPr="008D5625">
              <w:rPr>
                <w:b/>
                <w:sz w:val="20"/>
                <w:szCs w:val="20"/>
              </w:rPr>
              <w:t>0.24 (0.01)*</w:t>
            </w:r>
          </w:p>
        </w:tc>
        <w:tc>
          <w:tcPr>
            <w:tcW w:w="854" w:type="dxa"/>
            <w:shd w:val="clear" w:color="auto" w:fill="auto"/>
          </w:tcPr>
          <w:p w14:paraId="547EB41C" w14:textId="4938C03A" w:rsidR="009579B7" w:rsidRPr="00567A4A" w:rsidRDefault="00F0379C" w:rsidP="004C1B78">
            <w:pPr>
              <w:rPr>
                <w:sz w:val="20"/>
                <w:szCs w:val="20"/>
              </w:rPr>
            </w:pPr>
            <w:r>
              <w:rPr>
                <w:sz w:val="20"/>
                <w:szCs w:val="20"/>
              </w:rPr>
              <w:t>0.12 (0.18</w:t>
            </w:r>
            <w:r w:rsidR="009579B7" w:rsidRPr="00567A4A">
              <w:rPr>
                <w:sz w:val="20"/>
                <w:szCs w:val="20"/>
              </w:rPr>
              <w:t>)</w:t>
            </w:r>
          </w:p>
        </w:tc>
        <w:tc>
          <w:tcPr>
            <w:tcW w:w="840" w:type="dxa"/>
            <w:shd w:val="clear" w:color="auto" w:fill="auto"/>
          </w:tcPr>
          <w:p w14:paraId="1BD072C9" w14:textId="5EC480C7" w:rsidR="009579B7" w:rsidRPr="00567A4A" w:rsidRDefault="00284042" w:rsidP="004C1B78">
            <w:pPr>
              <w:rPr>
                <w:sz w:val="20"/>
                <w:szCs w:val="20"/>
              </w:rPr>
            </w:pPr>
            <w:r>
              <w:rPr>
                <w:sz w:val="20"/>
                <w:szCs w:val="20"/>
              </w:rPr>
              <w:t>0.14 (0.13</w:t>
            </w:r>
            <w:r w:rsidR="009579B7" w:rsidRPr="00567A4A">
              <w:rPr>
                <w:sz w:val="20"/>
                <w:szCs w:val="20"/>
              </w:rPr>
              <w:t>)</w:t>
            </w:r>
          </w:p>
        </w:tc>
        <w:tc>
          <w:tcPr>
            <w:tcW w:w="854" w:type="dxa"/>
            <w:shd w:val="clear" w:color="auto" w:fill="auto"/>
          </w:tcPr>
          <w:p w14:paraId="26D04FFA" w14:textId="6B67B32E" w:rsidR="009579B7" w:rsidRPr="00567A4A" w:rsidRDefault="009579B7" w:rsidP="00461677">
            <w:pPr>
              <w:rPr>
                <w:b/>
                <w:sz w:val="20"/>
                <w:szCs w:val="20"/>
              </w:rPr>
            </w:pPr>
            <w:r w:rsidRPr="00567A4A">
              <w:rPr>
                <w:b/>
                <w:sz w:val="20"/>
                <w:szCs w:val="20"/>
              </w:rPr>
              <w:t>0.</w:t>
            </w:r>
            <w:r w:rsidR="00461677">
              <w:rPr>
                <w:b/>
                <w:sz w:val="20"/>
                <w:szCs w:val="20"/>
              </w:rPr>
              <w:t>21 (0.02</w:t>
            </w:r>
            <w:r w:rsidRPr="00567A4A">
              <w:rPr>
                <w:b/>
                <w:sz w:val="20"/>
                <w:szCs w:val="20"/>
              </w:rPr>
              <w:t>)*</w:t>
            </w:r>
          </w:p>
        </w:tc>
        <w:tc>
          <w:tcPr>
            <w:tcW w:w="826" w:type="dxa"/>
            <w:shd w:val="clear" w:color="auto" w:fill="auto"/>
          </w:tcPr>
          <w:p w14:paraId="20990430" w14:textId="469F5C7C" w:rsidR="009579B7" w:rsidRPr="00567A4A" w:rsidRDefault="009579B7" w:rsidP="004C1B78">
            <w:pPr>
              <w:rPr>
                <w:sz w:val="20"/>
                <w:szCs w:val="20"/>
              </w:rPr>
            </w:pPr>
            <w:r w:rsidRPr="00567A4A">
              <w:rPr>
                <w:sz w:val="20"/>
                <w:szCs w:val="20"/>
              </w:rPr>
              <w:t>0</w:t>
            </w:r>
            <w:r w:rsidR="00663A58">
              <w:rPr>
                <w:sz w:val="20"/>
                <w:szCs w:val="20"/>
              </w:rPr>
              <w:t>.04 (0.63</w:t>
            </w:r>
            <w:r w:rsidRPr="00567A4A">
              <w:rPr>
                <w:sz w:val="20"/>
                <w:szCs w:val="20"/>
              </w:rPr>
              <w:t>)</w:t>
            </w:r>
          </w:p>
        </w:tc>
        <w:tc>
          <w:tcPr>
            <w:tcW w:w="842" w:type="dxa"/>
            <w:shd w:val="clear" w:color="auto" w:fill="auto"/>
          </w:tcPr>
          <w:p w14:paraId="29425B2A" w14:textId="771C4318" w:rsidR="009579B7" w:rsidRPr="00567A4A" w:rsidRDefault="00625B17" w:rsidP="004C1B78">
            <w:pPr>
              <w:rPr>
                <w:sz w:val="20"/>
                <w:szCs w:val="20"/>
              </w:rPr>
            </w:pPr>
            <w:r>
              <w:rPr>
                <w:sz w:val="20"/>
                <w:szCs w:val="20"/>
              </w:rPr>
              <w:t>0.16 (0.08</w:t>
            </w:r>
            <w:r w:rsidR="009579B7" w:rsidRPr="00567A4A">
              <w:rPr>
                <w:sz w:val="20"/>
                <w:szCs w:val="20"/>
              </w:rPr>
              <w:t>)</w:t>
            </w:r>
          </w:p>
        </w:tc>
        <w:tc>
          <w:tcPr>
            <w:tcW w:w="847" w:type="dxa"/>
            <w:shd w:val="clear" w:color="auto" w:fill="auto"/>
          </w:tcPr>
          <w:p w14:paraId="71B016CC" w14:textId="0893FE6B" w:rsidR="009579B7" w:rsidRPr="00567A4A" w:rsidRDefault="00C50420" w:rsidP="004C1B78">
            <w:pPr>
              <w:rPr>
                <w:sz w:val="20"/>
                <w:szCs w:val="20"/>
              </w:rPr>
            </w:pPr>
            <w:r>
              <w:rPr>
                <w:sz w:val="20"/>
                <w:szCs w:val="20"/>
              </w:rPr>
              <w:t>-0.05 (0.5</w:t>
            </w:r>
            <w:r w:rsidR="009579B7" w:rsidRPr="00567A4A">
              <w:rPr>
                <w:sz w:val="20"/>
                <w:szCs w:val="20"/>
              </w:rPr>
              <w:t>9)</w:t>
            </w:r>
          </w:p>
        </w:tc>
        <w:tc>
          <w:tcPr>
            <w:tcW w:w="957" w:type="dxa"/>
            <w:shd w:val="clear" w:color="auto" w:fill="auto"/>
          </w:tcPr>
          <w:p w14:paraId="0B678753" w14:textId="6E6E224F" w:rsidR="009579B7" w:rsidRPr="00567A4A" w:rsidRDefault="00E34CB2" w:rsidP="004C1B78">
            <w:pPr>
              <w:rPr>
                <w:sz w:val="20"/>
                <w:szCs w:val="20"/>
              </w:rPr>
            </w:pPr>
            <w:r>
              <w:rPr>
                <w:sz w:val="20"/>
                <w:szCs w:val="20"/>
              </w:rPr>
              <w:t>0.06 (0.53</w:t>
            </w:r>
            <w:r w:rsidR="009579B7" w:rsidRPr="00567A4A">
              <w:rPr>
                <w:sz w:val="20"/>
                <w:szCs w:val="20"/>
              </w:rPr>
              <w:t>)</w:t>
            </w:r>
          </w:p>
        </w:tc>
        <w:tc>
          <w:tcPr>
            <w:tcW w:w="957" w:type="dxa"/>
            <w:shd w:val="clear" w:color="auto" w:fill="auto"/>
          </w:tcPr>
          <w:p w14:paraId="1DBF2E55" w14:textId="392E13D7" w:rsidR="009579B7" w:rsidRPr="00567A4A" w:rsidRDefault="0079183F" w:rsidP="004C1B78">
            <w:pPr>
              <w:rPr>
                <w:sz w:val="20"/>
                <w:szCs w:val="20"/>
              </w:rPr>
            </w:pPr>
            <w:r>
              <w:rPr>
                <w:sz w:val="20"/>
                <w:szCs w:val="20"/>
              </w:rPr>
              <w:t>-0.08 (0.37</w:t>
            </w:r>
            <w:r w:rsidR="009579B7" w:rsidRPr="00567A4A">
              <w:rPr>
                <w:sz w:val="20"/>
                <w:szCs w:val="20"/>
              </w:rPr>
              <w:t>)</w:t>
            </w:r>
          </w:p>
        </w:tc>
      </w:tr>
      <w:tr w:rsidR="009579B7" w:rsidRPr="004C1B78" w14:paraId="79C0CDE5" w14:textId="77777777" w:rsidTr="009579B7">
        <w:tc>
          <w:tcPr>
            <w:tcW w:w="1087" w:type="dxa"/>
            <w:shd w:val="clear" w:color="auto" w:fill="auto"/>
          </w:tcPr>
          <w:p w14:paraId="0C625EBA" w14:textId="77777777" w:rsidR="009579B7" w:rsidRPr="00567A4A" w:rsidRDefault="009579B7" w:rsidP="004C1B78">
            <w:pPr>
              <w:rPr>
                <w:b/>
                <w:sz w:val="20"/>
                <w:szCs w:val="20"/>
              </w:rPr>
            </w:pPr>
            <w:r w:rsidRPr="00567A4A">
              <w:rPr>
                <w:b/>
                <w:sz w:val="20"/>
                <w:szCs w:val="20"/>
              </w:rPr>
              <w:t xml:space="preserve">Lateral </w:t>
            </w:r>
            <w:proofErr w:type="spellStart"/>
            <w:r w:rsidRPr="00567A4A">
              <w:rPr>
                <w:b/>
                <w:sz w:val="20"/>
                <w:szCs w:val="20"/>
              </w:rPr>
              <w:t>Ventricle_L</w:t>
            </w:r>
            <w:proofErr w:type="spellEnd"/>
          </w:p>
        </w:tc>
        <w:tc>
          <w:tcPr>
            <w:tcW w:w="952" w:type="dxa"/>
            <w:shd w:val="clear" w:color="auto" w:fill="auto"/>
          </w:tcPr>
          <w:p w14:paraId="34D8ABEF" w14:textId="052E3921" w:rsidR="009579B7" w:rsidRPr="00567A4A" w:rsidRDefault="00065511" w:rsidP="004C1B78">
            <w:pPr>
              <w:rPr>
                <w:b/>
                <w:sz w:val="20"/>
                <w:szCs w:val="20"/>
              </w:rPr>
            </w:pPr>
            <w:r>
              <w:rPr>
                <w:b/>
                <w:sz w:val="20"/>
                <w:szCs w:val="20"/>
              </w:rPr>
              <w:t>0.29 (0.002</w:t>
            </w:r>
            <w:r w:rsidR="009579B7" w:rsidRPr="00567A4A">
              <w:rPr>
                <w:b/>
                <w:sz w:val="20"/>
                <w:szCs w:val="20"/>
              </w:rPr>
              <w:t>)*</w:t>
            </w:r>
          </w:p>
        </w:tc>
        <w:tc>
          <w:tcPr>
            <w:tcW w:w="854" w:type="dxa"/>
          </w:tcPr>
          <w:p w14:paraId="16D1E2A0" w14:textId="660C60F1" w:rsidR="009579B7" w:rsidRPr="008D5625" w:rsidRDefault="008D5625" w:rsidP="004C1B78">
            <w:pPr>
              <w:rPr>
                <w:b/>
                <w:sz w:val="20"/>
                <w:szCs w:val="20"/>
              </w:rPr>
            </w:pPr>
            <w:r w:rsidRPr="008D5625">
              <w:rPr>
                <w:b/>
                <w:sz w:val="20"/>
                <w:szCs w:val="20"/>
              </w:rPr>
              <w:t>0.30 (0.001)*</w:t>
            </w:r>
            <w:r w:rsidR="00284042">
              <w:rPr>
                <w:b/>
                <w:sz w:val="20"/>
                <w:szCs w:val="20"/>
              </w:rPr>
              <w:t>*</w:t>
            </w:r>
          </w:p>
        </w:tc>
        <w:tc>
          <w:tcPr>
            <w:tcW w:w="854" w:type="dxa"/>
            <w:shd w:val="clear" w:color="auto" w:fill="auto"/>
          </w:tcPr>
          <w:p w14:paraId="7748C9A9" w14:textId="43B8E1E9" w:rsidR="009579B7" w:rsidRPr="00567A4A" w:rsidRDefault="00F0379C" w:rsidP="004C1B78">
            <w:pPr>
              <w:rPr>
                <w:sz w:val="20"/>
                <w:szCs w:val="20"/>
              </w:rPr>
            </w:pPr>
            <w:r>
              <w:rPr>
                <w:sz w:val="20"/>
                <w:szCs w:val="20"/>
              </w:rPr>
              <w:t>0.08 (0.38</w:t>
            </w:r>
            <w:r w:rsidR="009579B7" w:rsidRPr="00567A4A">
              <w:rPr>
                <w:sz w:val="20"/>
                <w:szCs w:val="20"/>
              </w:rPr>
              <w:t>)</w:t>
            </w:r>
          </w:p>
        </w:tc>
        <w:tc>
          <w:tcPr>
            <w:tcW w:w="840" w:type="dxa"/>
            <w:shd w:val="clear" w:color="auto" w:fill="auto"/>
          </w:tcPr>
          <w:p w14:paraId="3E6D506E" w14:textId="2ED4F5A6" w:rsidR="009579B7" w:rsidRPr="00567A4A" w:rsidRDefault="00284042" w:rsidP="00284042">
            <w:pPr>
              <w:rPr>
                <w:sz w:val="20"/>
                <w:szCs w:val="20"/>
              </w:rPr>
            </w:pPr>
            <w:r>
              <w:rPr>
                <w:sz w:val="20"/>
                <w:szCs w:val="20"/>
              </w:rPr>
              <w:t>0.14</w:t>
            </w:r>
            <w:r w:rsidR="009579B7" w:rsidRPr="00567A4A">
              <w:rPr>
                <w:sz w:val="20"/>
                <w:szCs w:val="20"/>
              </w:rPr>
              <w:t xml:space="preserve"> (0.1</w:t>
            </w:r>
            <w:r>
              <w:rPr>
                <w:sz w:val="20"/>
                <w:szCs w:val="20"/>
              </w:rPr>
              <w:t>4</w:t>
            </w:r>
            <w:r w:rsidR="009579B7" w:rsidRPr="00567A4A">
              <w:rPr>
                <w:sz w:val="20"/>
                <w:szCs w:val="20"/>
              </w:rPr>
              <w:t>)</w:t>
            </w:r>
          </w:p>
        </w:tc>
        <w:tc>
          <w:tcPr>
            <w:tcW w:w="854" w:type="dxa"/>
            <w:shd w:val="clear" w:color="auto" w:fill="auto"/>
          </w:tcPr>
          <w:p w14:paraId="02B36581" w14:textId="7BD66543" w:rsidR="009579B7" w:rsidRPr="00567A4A" w:rsidRDefault="009579B7" w:rsidP="004C1B78">
            <w:pPr>
              <w:rPr>
                <w:b/>
                <w:sz w:val="20"/>
                <w:szCs w:val="20"/>
              </w:rPr>
            </w:pPr>
            <w:r w:rsidRPr="00567A4A">
              <w:rPr>
                <w:b/>
                <w:sz w:val="20"/>
                <w:szCs w:val="20"/>
              </w:rPr>
              <w:t>0</w:t>
            </w:r>
            <w:r w:rsidR="00461677">
              <w:rPr>
                <w:b/>
                <w:sz w:val="20"/>
                <w:szCs w:val="20"/>
              </w:rPr>
              <w:t>.21 (0.02</w:t>
            </w:r>
            <w:r w:rsidRPr="00567A4A">
              <w:rPr>
                <w:b/>
                <w:sz w:val="20"/>
                <w:szCs w:val="20"/>
              </w:rPr>
              <w:t>)*</w:t>
            </w:r>
          </w:p>
        </w:tc>
        <w:tc>
          <w:tcPr>
            <w:tcW w:w="826" w:type="dxa"/>
            <w:shd w:val="clear" w:color="auto" w:fill="auto"/>
          </w:tcPr>
          <w:p w14:paraId="3749BBAA" w14:textId="0E91EC11" w:rsidR="009579B7" w:rsidRPr="00567A4A" w:rsidRDefault="00663A58" w:rsidP="00663A58">
            <w:pPr>
              <w:rPr>
                <w:sz w:val="20"/>
                <w:szCs w:val="20"/>
              </w:rPr>
            </w:pPr>
            <w:r>
              <w:rPr>
                <w:sz w:val="20"/>
                <w:szCs w:val="20"/>
              </w:rPr>
              <w:t>0.05</w:t>
            </w:r>
            <w:r w:rsidR="009579B7" w:rsidRPr="00567A4A">
              <w:rPr>
                <w:sz w:val="20"/>
                <w:szCs w:val="20"/>
              </w:rPr>
              <w:t xml:space="preserve"> (0.</w:t>
            </w:r>
            <w:r>
              <w:rPr>
                <w:sz w:val="20"/>
                <w:szCs w:val="20"/>
              </w:rPr>
              <w:t>56</w:t>
            </w:r>
            <w:r w:rsidR="009579B7" w:rsidRPr="00567A4A">
              <w:rPr>
                <w:sz w:val="20"/>
                <w:szCs w:val="20"/>
              </w:rPr>
              <w:t>)</w:t>
            </w:r>
          </w:p>
        </w:tc>
        <w:tc>
          <w:tcPr>
            <w:tcW w:w="842" w:type="dxa"/>
            <w:shd w:val="clear" w:color="auto" w:fill="auto"/>
          </w:tcPr>
          <w:p w14:paraId="22B12C46" w14:textId="082E4F29" w:rsidR="009579B7" w:rsidRPr="00625B17" w:rsidRDefault="009579B7" w:rsidP="00625B17">
            <w:pPr>
              <w:rPr>
                <w:b/>
                <w:sz w:val="20"/>
                <w:szCs w:val="20"/>
              </w:rPr>
            </w:pPr>
            <w:r w:rsidRPr="00625B17">
              <w:rPr>
                <w:b/>
                <w:sz w:val="20"/>
                <w:szCs w:val="20"/>
              </w:rPr>
              <w:t>0.</w:t>
            </w:r>
            <w:r w:rsidR="00625B17" w:rsidRPr="00625B17">
              <w:rPr>
                <w:b/>
                <w:sz w:val="20"/>
                <w:szCs w:val="20"/>
              </w:rPr>
              <w:t>20 (0.03</w:t>
            </w:r>
            <w:r w:rsidRPr="00625B17">
              <w:rPr>
                <w:b/>
                <w:sz w:val="20"/>
                <w:szCs w:val="20"/>
              </w:rPr>
              <w:t>)</w:t>
            </w:r>
            <w:r w:rsidR="00625B17" w:rsidRPr="00625B17">
              <w:rPr>
                <w:b/>
                <w:sz w:val="20"/>
                <w:szCs w:val="20"/>
              </w:rPr>
              <w:t>*</w:t>
            </w:r>
            <w:r w:rsidR="00625B17">
              <w:rPr>
                <w:b/>
                <w:sz w:val="20"/>
                <w:szCs w:val="20"/>
              </w:rPr>
              <w:t>†</w:t>
            </w:r>
          </w:p>
        </w:tc>
        <w:tc>
          <w:tcPr>
            <w:tcW w:w="847" w:type="dxa"/>
            <w:shd w:val="clear" w:color="auto" w:fill="auto"/>
          </w:tcPr>
          <w:p w14:paraId="01FC36CD" w14:textId="4560C270" w:rsidR="009579B7" w:rsidRPr="00567A4A" w:rsidRDefault="009579B7" w:rsidP="004C1B78">
            <w:pPr>
              <w:rPr>
                <w:sz w:val="20"/>
                <w:szCs w:val="20"/>
              </w:rPr>
            </w:pPr>
            <w:r w:rsidRPr="00567A4A">
              <w:rPr>
                <w:sz w:val="20"/>
                <w:szCs w:val="20"/>
              </w:rPr>
              <w:t>-</w:t>
            </w:r>
            <w:r w:rsidR="00C50420">
              <w:rPr>
                <w:sz w:val="20"/>
                <w:szCs w:val="20"/>
              </w:rPr>
              <w:t>0.03 (0.73</w:t>
            </w:r>
            <w:r w:rsidRPr="00567A4A">
              <w:rPr>
                <w:sz w:val="20"/>
                <w:szCs w:val="20"/>
              </w:rPr>
              <w:t>)</w:t>
            </w:r>
          </w:p>
        </w:tc>
        <w:tc>
          <w:tcPr>
            <w:tcW w:w="957" w:type="dxa"/>
            <w:shd w:val="clear" w:color="auto" w:fill="auto"/>
          </w:tcPr>
          <w:p w14:paraId="43CF00E2" w14:textId="6A4F6B34" w:rsidR="009579B7" w:rsidRPr="00567A4A" w:rsidRDefault="00E34CB2" w:rsidP="004C1B78">
            <w:pPr>
              <w:rPr>
                <w:sz w:val="20"/>
                <w:szCs w:val="20"/>
              </w:rPr>
            </w:pPr>
            <w:r>
              <w:rPr>
                <w:sz w:val="20"/>
                <w:szCs w:val="20"/>
              </w:rPr>
              <w:t>0.007 (0.94</w:t>
            </w:r>
            <w:r w:rsidR="009579B7" w:rsidRPr="00567A4A">
              <w:rPr>
                <w:sz w:val="20"/>
                <w:szCs w:val="20"/>
              </w:rPr>
              <w:t>)</w:t>
            </w:r>
          </w:p>
        </w:tc>
        <w:tc>
          <w:tcPr>
            <w:tcW w:w="957" w:type="dxa"/>
            <w:shd w:val="clear" w:color="auto" w:fill="auto"/>
          </w:tcPr>
          <w:p w14:paraId="7761B099" w14:textId="2B39B5FE" w:rsidR="009579B7" w:rsidRPr="00567A4A" w:rsidRDefault="0079183F" w:rsidP="0079183F">
            <w:pPr>
              <w:rPr>
                <w:sz w:val="20"/>
                <w:szCs w:val="20"/>
              </w:rPr>
            </w:pPr>
            <w:r>
              <w:rPr>
                <w:sz w:val="20"/>
                <w:szCs w:val="20"/>
              </w:rPr>
              <w:t>-0.05</w:t>
            </w:r>
            <w:r w:rsidR="009579B7" w:rsidRPr="00567A4A">
              <w:rPr>
                <w:sz w:val="20"/>
                <w:szCs w:val="20"/>
              </w:rPr>
              <w:t xml:space="preserve"> (0.</w:t>
            </w:r>
            <w:r>
              <w:rPr>
                <w:sz w:val="20"/>
                <w:szCs w:val="20"/>
              </w:rPr>
              <w:t>60</w:t>
            </w:r>
            <w:r w:rsidR="009579B7" w:rsidRPr="00567A4A">
              <w:rPr>
                <w:sz w:val="20"/>
                <w:szCs w:val="20"/>
              </w:rPr>
              <w:t>)</w:t>
            </w:r>
          </w:p>
        </w:tc>
      </w:tr>
      <w:tr w:rsidR="009579B7" w:rsidRPr="004C1B78" w14:paraId="172A1EBF" w14:textId="77777777" w:rsidTr="009579B7">
        <w:tc>
          <w:tcPr>
            <w:tcW w:w="1087" w:type="dxa"/>
            <w:shd w:val="clear" w:color="auto" w:fill="auto"/>
          </w:tcPr>
          <w:p w14:paraId="74A7D52E" w14:textId="77777777" w:rsidR="009579B7" w:rsidRPr="00567A4A" w:rsidRDefault="009579B7" w:rsidP="004C1B78">
            <w:pPr>
              <w:rPr>
                <w:b/>
                <w:sz w:val="20"/>
                <w:szCs w:val="20"/>
              </w:rPr>
            </w:pPr>
            <w:r w:rsidRPr="00567A4A">
              <w:rPr>
                <w:b/>
                <w:sz w:val="20"/>
                <w:szCs w:val="20"/>
              </w:rPr>
              <w:t>3</w:t>
            </w:r>
            <w:r w:rsidRPr="00567A4A">
              <w:rPr>
                <w:b/>
                <w:sz w:val="20"/>
                <w:szCs w:val="20"/>
                <w:vertAlign w:val="superscript"/>
              </w:rPr>
              <w:t>rd</w:t>
            </w:r>
            <w:r w:rsidRPr="00567A4A">
              <w:rPr>
                <w:b/>
                <w:sz w:val="20"/>
                <w:szCs w:val="20"/>
              </w:rPr>
              <w:t xml:space="preserve"> Ventricle</w:t>
            </w:r>
          </w:p>
        </w:tc>
        <w:tc>
          <w:tcPr>
            <w:tcW w:w="952" w:type="dxa"/>
            <w:shd w:val="clear" w:color="auto" w:fill="auto"/>
          </w:tcPr>
          <w:p w14:paraId="65AA43D0" w14:textId="430F8B5A" w:rsidR="009579B7" w:rsidRPr="00567A4A" w:rsidRDefault="00065511" w:rsidP="004C1B78">
            <w:pPr>
              <w:rPr>
                <w:sz w:val="20"/>
                <w:szCs w:val="20"/>
              </w:rPr>
            </w:pPr>
            <w:r>
              <w:rPr>
                <w:sz w:val="20"/>
                <w:szCs w:val="20"/>
              </w:rPr>
              <w:t>0.17 (0.07</w:t>
            </w:r>
            <w:r w:rsidR="009579B7" w:rsidRPr="00567A4A">
              <w:rPr>
                <w:sz w:val="20"/>
                <w:szCs w:val="20"/>
              </w:rPr>
              <w:t>)</w:t>
            </w:r>
          </w:p>
        </w:tc>
        <w:tc>
          <w:tcPr>
            <w:tcW w:w="854" w:type="dxa"/>
          </w:tcPr>
          <w:p w14:paraId="64B81CE7" w14:textId="12292431" w:rsidR="009579B7" w:rsidRPr="00567A4A" w:rsidRDefault="008D5625" w:rsidP="004C1B78">
            <w:pPr>
              <w:rPr>
                <w:sz w:val="20"/>
                <w:szCs w:val="20"/>
              </w:rPr>
            </w:pPr>
            <w:r>
              <w:rPr>
                <w:sz w:val="20"/>
                <w:szCs w:val="20"/>
              </w:rPr>
              <w:t>0.12 (0.18)</w:t>
            </w:r>
          </w:p>
        </w:tc>
        <w:tc>
          <w:tcPr>
            <w:tcW w:w="854" w:type="dxa"/>
            <w:shd w:val="clear" w:color="auto" w:fill="auto"/>
          </w:tcPr>
          <w:p w14:paraId="4FF87760" w14:textId="044D535E" w:rsidR="009579B7" w:rsidRPr="00567A4A" w:rsidRDefault="00F0379C" w:rsidP="00F0379C">
            <w:pPr>
              <w:rPr>
                <w:sz w:val="20"/>
                <w:szCs w:val="20"/>
              </w:rPr>
            </w:pPr>
            <w:r>
              <w:rPr>
                <w:sz w:val="20"/>
                <w:szCs w:val="20"/>
              </w:rPr>
              <w:t>0.009</w:t>
            </w:r>
            <w:r w:rsidR="009579B7" w:rsidRPr="00567A4A">
              <w:rPr>
                <w:sz w:val="20"/>
                <w:szCs w:val="20"/>
              </w:rPr>
              <w:t xml:space="preserve"> (0.</w:t>
            </w:r>
            <w:r>
              <w:rPr>
                <w:sz w:val="20"/>
                <w:szCs w:val="20"/>
              </w:rPr>
              <w:t>92</w:t>
            </w:r>
            <w:r w:rsidR="009579B7" w:rsidRPr="00567A4A">
              <w:rPr>
                <w:sz w:val="20"/>
                <w:szCs w:val="20"/>
              </w:rPr>
              <w:t>)</w:t>
            </w:r>
          </w:p>
        </w:tc>
        <w:tc>
          <w:tcPr>
            <w:tcW w:w="840" w:type="dxa"/>
            <w:shd w:val="clear" w:color="auto" w:fill="auto"/>
          </w:tcPr>
          <w:p w14:paraId="0A087E89" w14:textId="59B270AC" w:rsidR="009579B7" w:rsidRPr="00567A4A" w:rsidRDefault="009579B7" w:rsidP="00284042">
            <w:pPr>
              <w:rPr>
                <w:sz w:val="20"/>
                <w:szCs w:val="20"/>
              </w:rPr>
            </w:pPr>
            <w:r w:rsidRPr="00567A4A">
              <w:rPr>
                <w:sz w:val="20"/>
                <w:szCs w:val="20"/>
              </w:rPr>
              <w:t>0.02 (0.</w:t>
            </w:r>
            <w:r w:rsidR="00284042">
              <w:rPr>
                <w:sz w:val="20"/>
                <w:szCs w:val="20"/>
              </w:rPr>
              <w:t>78</w:t>
            </w:r>
            <w:r w:rsidRPr="00567A4A">
              <w:rPr>
                <w:sz w:val="20"/>
                <w:szCs w:val="20"/>
              </w:rPr>
              <w:t>)</w:t>
            </w:r>
          </w:p>
        </w:tc>
        <w:tc>
          <w:tcPr>
            <w:tcW w:w="854" w:type="dxa"/>
            <w:shd w:val="clear" w:color="auto" w:fill="auto"/>
          </w:tcPr>
          <w:p w14:paraId="02EB0D63" w14:textId="1153763D" w:rsidR="009579B7" w:rsidRPr="00567A4A" w:rsidRDefault="009579B7" w:rsidP="004C1B78">
            <w:pPr>
              <w:rPr>
                <w:sz w:val="20"/>
                <w:szCs w:val="20"/>
              </w:rPr>
            </w:pPr>
            <w:r w:rsidRPr="00567A4A">
              <w:rPr>
                <w:sz w:val="20"/>
                <w:szCs w:val="20"/>
              </w:rPr>
              <w:t>0</w:t>
            </w:r>
            <w:r w:rsidR="00461677">
              <w:rPr>
                <w:sz w:val="20"/>
                <w:szCs w:val="20"/>
              </w:rPr>
              <w:t>.05 (0.55</w:t>
            </w:r>
            <w:r w:rsidRPr="00567A4A">
              <w:rPr>
                <w:sz w:val="20"/>
                <w:szCs w:val="20"/>
              </w:rPr>
              <w:t>)</w:t>
            </w:r>
          </w:p>
        </w:tc>
        <w:tc>
          <w:tcPr>
            <w:tcW w:w="826" w:type="dxa"/>
            <w:shd w:val="clear" w:color="auto" w:fill="auto"/>
          </w:tcPr>
          <w:p w14:paraId="0E6D4A9C" w14:textId="49068E8B" w:rsidR="009579B7" w:rsidRPr="00567A4A" w:rsidRDefault="00663A58" w:rsidP="004C1B78">
            <w:pPr>
              <w:rPr>
                <w:sz w:val="20"/>
                <w:szCs w:val="20"/>
              </w:rPr>
            </w:pPr>
            <w:r>
              <w:rPr>
                <w:sz w:val="20"/>
                <w:szCs w:val="20"/>
              </w:rPr>
              <w:t>0.1 (0.29</w:t>
            </w:r>
            <w:r w:rsidR="009579B7" w:rsidRPr="00567A4A">
              <w:rPr>
                <w:sz w:val="20"/>
                <w:szCs w:val="20"/>
              </w:rPr>
              <w:t>)</w:t>
            </w:r>
          </w:p>
        </w:tc>
        <w:tc>
          <w:tcPr>
            <w:tcW w:w="842" w:type="dxa"/>
            <w:shd w:val="clear" w:color="auto" w:fill="auto"/>
          </w:tcPr>
          <w:p w14:paraId="11D40CA2" w14:textId="47010464" w:rsidR="009579B7" w:rsidRPr="00567A4A" w:rsidRDefault="009579B7" w:rsidP="00625B17">
            <w:pPr>
              <w:rPr>
                <w:sz w:val="20"/>
                <w:szCs w:val="20"/>
              </w:rPr>
            </w:pPr>
            <w:r w:rsidRPr="00567A4A">
              <w:rPr>
                <w:sz w:val="20"/>
                <w:szCs w:val="20"/>
              </w:rPr>
              <w:t>0.</w:t>
            </w:r>
            <w:r w:rsidR="00625B17">
              <w:rPr>
                <w:sz w:val="20"/>
                <w:szCs w:val="20"/>
              </w:rPr>
              <w:t>11 (0.22</w:t>
            </w:r>
            <w:r w:rsidRPr="00567A4A">
              <w:rPr>
                <w:sz w:val="20"/>
                <w:szCs w:val="20"/>
              </w:rPr>
              <w:t>)</w:t>
            </w:r>
          </w:p>
        </w:tc>
        <w:tc>
          <w:tcPr>
            <w:tcW w:w="847" w:type="dxa"/>
            <w:shd w:val="clear" w:color="auto" w:fill="auto"/>
          </w:tcPr>
          <w:p w14:paraId="0EF551AF" w14:textId="70816B65" w:rsidR="009579B7" w:rsidRPr="00567A4A" w:rsidRDefault="009579B7" w:rsidP="00C50420">
            <w:pPr>
              <w:rPr>
                <w:sz w:val="20"/>
                <w:szCs w:val="20"/>
              </w:rPr>
            </w:pPr>
            <w:r w:rsidRPr="00567A4A">
              <w:rPr>
                <w:sz w:val="20"/>
                <w:szCs w:val="20"/>
              </w:rPr>
              <w:t>-</w:t>
            </w:r>
            <w:r w:rsidR="00C50420">
              <w:rPr>
                <w:sz w:val="20"/>
                <w:szCs w:val="20"/>
              </w:rPr>
              <w:t>0.11</w:t>
            </w:r>
            <w:r w:rsidRPr="00567A4A">
              <w:rPr>
                <w:sz w:val="20"/>
                <w:szCs w:val="20"/>
              </w:rPr>
              <w:t xml:space="preserve"> (0.</w:t>
            </w:r>
            <w:r w:rsidR="00C50420">
              <w:rPr>
                <w:sz w:val="20"/>
                <w:szCs w:val="20"/>
              </w:rPr>
              <w:t>23</w:t>
            </w:r>
            <w:r w:rsidRPr="00567A4A">
              <w:rPr>
                <w:sz w:val="20"/>
                <w:szCs w:val="20"/>
              </w:rPr>
              <w:t>)</w:t>
            </w:r>
          </w:p>
        </w:tc>
        <w:tc>
          <w:tcPr>
            <w:tcW w:w="957" w:type="dxa"/>
            <w:shd w:val="clear" w:color="auto" w:fill="auto"/>
          </w:tcPr>
          <w:p w14:paraId="744B6E34" w14:textId="41584FF3" w:rsidR="009579B7" w:rsidRPr="00567A4A" w:rsidRDefault="009579B7" w:rsidP="004C1B78">
            <w:pPr>
              <w:rPr>
                <w:sz w:val="20"/>
                <w:szCs w:val="20"/>
              </w:rPr>
            </w:pPr>
            <w:r w:rsidRPr="00567A4A">
              <w:rPr>
                <w:sz w:val="20"/>
                <w:szCs w:val="20"/>
              </w:rPr>
              <w:t>-</w:t>
            </w:r>
            <w:r w:rsidR="00E34CB2">
              <w:rPr>
                <w:sz w:val="20"/>
                <w:szCs w:val="20"/>
              </w:rPr>
              <w:t>0.004 (0.97</w:t>
            </w:r>
            <w:r w:rsidRPr="00567A4A">
              <w:rPr>
                <w:sz w:val="20"/>
                <w:szCs w:val="20"/>
              </w:rPr>
              <w:t>)</w:t>
            </w:r>
          </w:p>
        </w:tc>
        <w:tc>
          <w:tcPr>
            <w:tcW w:w="957" w:type="dxa"/>
            <w:shd w:val="clear" w:color="auto" w:fill="auto"/>
          </w:tcPr>
          <w:p w14:paraId="0CCFB39C" w14:textId="05E67B46" w:rsidR="009579B7" w:rsidRPr="00567A4A" w:rsidRDefault="0079183F" w:rsidP="0079183F">
            <w:pPr>
              <w:rPr>
                <w:sz w:val="20"/>
                <w:szCs w:val="20"/>
              </w:rPr>
            </w:pPr>
            <w:r>
              <w:rPr>
                <w:sz w:val="20"/>
                <w:szCs w:val="20"/>
              </w:rPr>
              <w:t>-0.05</w:t>
            </w:r>
            <w:r w:rsidR="009579B7" w:rsidRPr="00567A4A">
              <w:rPr>
                <w:sz w:val="20"/>
                <w:szCs w:val="20"/>
              </w:rPr>
              <w:t xml:space="preserve"> (0.</w:t>
            </w:r>
            <w:r>
              <w:rPr>
                <w:sz w:val="20"/>
                <w:szCs w:val="20"/>
              </w:rPr>
              <w:t>60</w:t>
            </w:r>
            <w:r w:rsidR="009579B7" w:rsidRPr="00567A4A">
              <w:rPr>
                <w:sz w:val="20"/>
                <w:szCs w:val="20"/>
              </w:rPr>
              <w:t>)</w:t>
            </w:r>
          </w:p>
        </w:tc>
      </w:tr>
      <w:tr w:rsidR="009579B7" w:rsidRPr="004C1B78" w14:paraId="3FEE313A" w14:textId="77777777" w:rsidTr="009579B7">
        <w:tc>
          <w:tcPr>
            <w:tcW w:w="1087" w:type="dxa"/>
            <w:shd w:val="clear" w:color="auto" w:fill="auto"/>
          </w:tcPr>
          <w:p w14:paraId="45EA4C45" w14:textId="77777777" w:rsidR="009579B7" w:rsidRPr="00567A4A" w:rsidRDefault="009579B7" w:rsidP="004C1B78">
            <w:pPr>
              <w:rPr>
                <w:b/>
                <w:sz w:val="20"/>
                <w:szCs w:val="20"/>
              </w:rPr>
            </w:pPr>
            <w:r w:rsidRPr="00567A4A">
              <w:rPr>
                <w:b/>
                <w:sz w:val="20"/>
                <w:szCs w:val="20"/>
              </w:rPr>
              <w:t>4</w:t>
            </w:r>
            <w:r w:rsidRPr="00567A4A">
              <w:rPr>
                <w:b/>
                <w:sz w:val="20"/>
                <w:szCs w:val="20"/>
                <w:vertAlign w:val="superscript"/>
              </w:rPr>
              <w:t>th</w:t>
            </w:r>
            <w:r w:rsidRPr="00567A4A">
              <w:rPr>
                <w:b/>
                <w:sz w:val="20"/>
                <w:szCs w:val="20"/>
              </w:rPr>
              <w:t xml:space="preserve"> Ventricle</w:t>
            </w:r>
          </w:p>
        </w:tc>
        <w:tc>
          <w:tcPr>
            <w:tcW w:w="952" w:type="dxa"/>
            <w:shd w:val="clear" w:color="auto" w:fill="auto"/>
          </w:tcPr>
          <w:p w14:paraId="487CC676" w14:textId="77777777" w:rsidR="009579B7" w:rsidRPr="00567A4A" w:rsidRDefault="009579B7" w:rsidP="004C1B78">
            <w:pPr>
              <w:rPr>
                <w:sz w:val="20"/>
                <w:szCs w:val="20"/>
              </w:rPr>
            </w:pPr>
            <w:r w:rsidRPr="00567A4A">
              <w:rPr>
                <w:sz w:val="20"/>
                <w:szCs w:val="20"/>
              </w:rPr>
              <w:t>0.12 (0.20)</w:t>
            </w:r>
          </w:p>
        </w:tc>
        <w:tc>
          <w:tcPr>
            <w:tcW w:w="854" w:type="dxa"/>
          </w:tcPr>
          <w:p w14:paraId="6D68AE58" w14:textId="26E09E64" w:rsidR="009579B7" w:rsidRPr="00567A4A" w:rsidRDefault="008D5625" w:rsidP="004C1B78">
            <w:pPr>
              <w:rPr>
                <w:sz w:val="20"/>
                <w:szCs w:val="20"/>
              </w:rPr>
            </w:pPr>
            <w:r>
              <w:rPr>
                <w:sz w:val="20"/>
                <w:szCs w:val="20"/>
              </w:rPr>
              <w:t>0.13 (0.16)</w:t>
            </w:r>
          </w:p>
        </w:tc>
        <w:tc>
          <w:tcPr>
            <w:tcW w:w="854" w:type="dxa"/>
            <w:shd w:val="clear" w:color="auto" w:fill="auto"/>
          </w:tcPr>
          <w:p w14:paraId="75D67D12" w14:textId="5A0E752D" w:rsidR="009579B7" w:rsidRPr="00567A4A" w:rsidRDefault="00F0379C" w:rsidP="004C1B78">
            <w:pPr>
              <w:rPr>
                <w:sz w:val="20"/>
                <w:szCs w:val="20"/>
              </w:rPr>
            </w:pPr>
            <w:r>
              <w:rPr>
                <w:sz w:val="20"/>
                <w:szCs w:val="20"/>
              </w:rPr>
              <w:t>0.08 (0.37</w:t>
            </w:r>
            <w:r w:rsidR="009579B7" w:rsidRPr="00567A4A">
              <w:rPr>
                <w:sz w:val="20"/>
                <w:szCs w:val="20"/>
              </w:rPr>
              <w:t>)</w:t>
            </w:r>
          </w:p>
        </w:tc>
        <w:tc>
          <w:tcPr>
            <w:tcW w:w="840" w:type="dxa"/>
            <w:shd w:val="clear" w:color="auto" w:fill="auto"/>
          </w:tcPr>
          <w:p w14:paraId="4089246F" w14:textId="123A9891" w:rsidR="009579B7" w:rsidRPr="00567A4A" w:rsidRDefault="009579B7" w:rsidP="00284042">
            <w:pPr>
              <w:rPr>
                <w:sz w:val="20"/>
                <w:szCs w:val="20"/>
              </w:rPr>
            </w:pPr>
            <w:r w:rsidRPr="00567A4A">
              <w:rPr>
                <w:sz w:val="20"/>
                <w:szCs w:val="20"/>
              </w:rPr>
              <w:t>0.10 (0.2</w:t>
            </w:r>
            <w:r w:rsidR="00284042">
              <w:rPr>
                <w:sz w:val="20"/>
                <w:szCs w:val="20"/>
              </w:rPr>
              <w:t>9</w:t>
            </w:r>
            <w:r w:rsidRPr="00567A4A">
              <w:rPr>
                <w:sz w:val="20"/>
                <w:szCs w:val="20"/>
              </w:rPr>
              <w:t>)</w:t>
            </w:r>
          </w:p>
        </w:tc>
        <w:tc>
          <w:tcPr>
            <w:tcW w:w="854" w:type="dxa"/>
            <w:shd w:val="clear" w:color="auto" w:fill="auto"/>
          </w:tcPr>
          <w:p w14:paraId="68478AC4" w14:textId="74F4253E" w:rsidR="009579B7" w:rsidRPr="00567A4A" w:rsidRDefault="009579B7" w:rsidP="004C1B78">
            <w:pPr>
              <w:rPr>
                <w:sz w:val="20"/>
                <w:szCs w:val="20"/>
              </w:rPr>
            </w:pPr>
            <w:r w:rsidRPr="00567A4A">
              <w:rPr>
                <w:sz w:val="20"/>
                <w:szCs w:val="20"/>
              </w:rPr>
              <w:t>0</w:t>
            </w:r>
            <w:r w:rsidR="00461677">
              <w:rPr>
                <w:sz w:val="20"/>
                <w:szCs w:val="20"/>
              </w:rPr>
              <w:t>.05 (0.63</w:t>
            </w:r>
            <w:r w:rsidRPr="00567A4A">
              <w:rPr>
                <w:sz w:val="20"/>
                <w:szCs w:val="20"/>
              </w:rPr>
              <w:t>)</w:t>
            </w:r>
          </w:p>
        </w:tc>
        <w:tc>
          <w:tcPr>
            <w:tcW w:w="826" w:type="dxa"/>
            <w:shd w:val="clear" w:color="auto" w:fill="auto"/>
          </w:tcPr>
          <w:p w14:paraId="1BA3763E" w14:textId="1727F1C4" w:rsidR="009579B7" w:rsidRPr="00567A4A" w:rsidRDefault="00663A58" w:rsidP="004C1B78">
            <w:pPr>
              <w:rPr>
                <w:sz w:val="20"/>
                <w:szCs w:val="20"/>
              </w:rPr>
            </w:pPr>
            <w:r>
              <w:rPr>
                <w:sz w:val="20"/>
                <w:szCs w:val="20"/>
              </w:rPr>
              <w:t>0.03 (0.78</w:t>
            </w:r>
            <w:r w:rsidR="009579B7" w:rsidRPr="00567A4A">
              <w:rPr>
                <w:sz w:val="20"/>
                <w:szCs w:val="20"/>
              </w:rPr>
              <w:t>)</w:t>
            </w:r>
          </w:p>
        </w:tc>
        <w:tc>
          <w:tcPr>
            <w:tcW w:w="842" w:type="dxa"/>
            <w:shd w:val="clear" w:color="auto" w:fill="auto"/>
          </w:tcPr>
          <w:p w14:paraId="68FBF7B8" w14:textId="2C24B8AD" w:rsidR="009579B7" w:rsidRPr="00567A4A" w:rsidRDefault="00625B17" w:rsidP="00625B17">
            <w:pPr>
              <w:rPr>
                <w:sz w:val="20"/>
                <w:szCs w:val="20"/>
              </w:rPr>
            </w:pPr>
            <w:r>
              <w:rPr>
                <w:sz w:val="20"/>
                <w:szCs w:val="20"/>
              </w:rPr>
              <w:t>0.01</w:t>
            </w:r>
            <w:r w:rsidR="009579B7" w:rsidRPr="00567A4A">
              <w:rPr>
                <w:sz w:val="20"/>
                <w:szCs w:val="20"/>
              </w:rPr>
              <w:t xml:space="preserve"> (0.</w:t>
            </w:r>
            <w:r>
              <w:rPr>
                <w:sz w:val="20"/>
                <w:szCs w:val="20"/>
              </w:rPr>
              <w:t>90</w:t>
            </w:r>
            <w:r w:rsidR="009579B7" w:rsidRPr="00567A4A">
              <w:rPr>
                <w:sz w:val="20"/>
                <w:szCs w:val="20"/>
              </w:rPr>
              <w:t>)</w:t>
            </w:r>
          </w:p>
        </w:tc>
        <w:tc>
          <w:tcPr>
            <w:tcW w:w="847" w:type="dxa"/>
            <w:shd w:val="clear" w:color="auto" w:fill="auto"/>
          </w:tcPr>
          <w:p w14:paraId="255B4DD3" w14:textId="538913FB" w:rsidR="009579B7" w:rsidRPr="00567A4A" w:rsidRDefault="009579B7" w:rsidP="004C1B78">
            <w:pPr>
              <w:rPr>
                <w:sz w:val="20"/>
                <w:szCs w:val="20"/>
              </w:rPr>
            </w:pPr>
            <w:r w:rsidRPr="00567A4A">
              <w:rPr>
                <w:sz w:val="20"/>
                <w:szCs w:val="20"/>
              </w:rPr>
              <w:t>0.</w:t>
            </w:r>
            <w:r w:rsidR="00C50420">
              <w:rPr>
                <w:sz w:val="20"/>
                <w:szCs w:val="20"/>
              </w:rPr>
              <w:t>02 (0.88</w:t>
            </w:r>
            <w:r w:rsidRPr="00567A4A">
              <w:rPr>
                <w:sz w:val="20"/>
                <w:szCs w:val="20"/>
              </w:rPr>
              <w:t>)</w:t>
            </w:r>
          </w:p>
        </w:tc>
        <w:tc>
          <w:tcPr>
            <w:tcW w:w="957" w:type="dxa"/>
            <w:shd w:val="clear" w:color="auto" w:fill="auto"/>
          </w:tcPr>
          <w:p w14:paraId="3AC5546B" w14:textId="6EE9AEB4" w:rsidR="009579B7" w:rsidRPr="00567A4A" w:rsidRDefault="00E34CB2" w:rsidP="004C1B78">
            <w:pPr>
              <w:rPr>
                <w:sz w:val="20"/>
                <w:szCs w:val="20"/>
              </w:rPr>
            </w:pPr>
            <w:r>
              <w:rPr>
                <w:sz w:val="20"/>
                <w:szCs w:val="20"/>
              </w:rPr>
              <w:t>-0.09 (0.32</w:t>
            </w:r>
            <w:r w:rsidR="009579B7" w:rsidRPr="00567A4A">
              <w:rPr>
                <w:sz w:val="20"/>
                <w:szCs w:val="20"/>
              </w:rPr>
              <w:t>)</w:t>
            </w:r>
          </w:p>
        </w:tc>
        <w:tc>
          <w:tcPr>
            <w:tcW w:w="957" w:type="dxa"/>
            <w:shd w:val="clear" w:color="auto" w:fill="auto"/>
          </w:tcPr>
          <w:p w14:paraId="3F4472A0" w14:textId="759E00A3" w:rsidR="009579B7" w:rsidRPr="00567A4A" w:rsidRDefault="0079183F" w:rsidP="004C1B78">
            <w:pPr>
              <w:rPr>
                <w:sz w:val="20"/>
                <w:szCs w:val="20"/>
              </w:rPr>
            </w:pPr>
            <w:r>
              <w:rPr>
                <w:sz w:val="20"/>
                <w:szCs w:val="20"/>
              </w:rPr>
              <w:t>-0.05 (0.56</w:t>
            </w:r>
            <w:r w:rsidR="009579B7" w:rsidRPr="00567A4A">
              <w:rPr>
                <w:sz w:val="20"/>
                <w:szCs w:val="20"/>
              </w:rPr>
              <w:t>)</w:t>
            </w:r>
          </w:p>
        </w:tc>
      </w:tr>
      <w:tr w:rsidR="009579B7" w:rsidRPr="004C1B78" w14:paraId="5C3F2D1D" w14:textId="77777777" w:rsidTr="009579B7">
        <w:tc>
          <w:tcPr>
            <w:tcW w:w="1087" w:type="dxa"/>
            <w:shd w:val="clear" w:color="auto" w:fill="auto"/>
          </w:tcPr>
          <w:p w14:paraId="2FE35464" w14:textId="77777777" w:rsidR="009579B7" w:rsidRPr="00567A4A" w:rsidRDefault="009579B7" w:rsidP="004C1B78">
            <w:pPr>
              <w:rPr>
                <w:b/>
                <w:sz w:val="20"/>
                <w:szCs w:val="20"/>
              </w:rPr>
            </w:pPr>
            <w:r w:rsidRPr="00567A4A">
              <w:rPr>
                <w:b/>
                <w:sz w:val="20"/>
                <w:szCs w:val="20"/>
              </w:rPr>
              <w:t>Sub- arachnoid space</w:t>
            </w:r>
          </w:p>
        </w:tc>
        <w:tc>
          <w:tcPr>
            <w:tcW w:w="952" w:type="dxa"/>
            <w:shd w:val="clear" w:color="auto" w:fill="auto"/>
          </w:tcPr>
          <w:p w14:paraId="3F293D65" w14:textId="0D0969CD" w:rsidR="009579B7" w:rsidRPr="00567A4A" w:rsidRDefault="00065511" w:rsidP="00065511">
            <w:pPr>
              <w:rPr>
                <w:sz w:val="20"/>
                <w:szCs w:val="20"/>
              </w:rPr>
            </w:pPr>
            <w:r>
              <w:rPr>
                <w:sz w:val="20"/>
                <w:szCs w:val="20"/>
              </w:rPr>
              <w:t xml:space="preserve">-0.07 </w:t>
            </w:r>
            <w:r w:rsidR="009579B7" w:rsidRPr="00567A4A">
              <w:rPr>
                <w:sz w:val="20"/>
                <w:szCs w:val="20"/>
              </w:rPr>
              <w:t>(0.</w:t>
            </w:r>
            <w:r>
              <w:rPr>
                <w:sz w:val="20"/>
                <w:szCs w:val="20"/>
              </w:rPr>
              <w:t>43</w:t>
            </w:r>
            <w:r w:rsidR="009579B7" w:rsidRPr="00567A4A">
              <w:rPr>
                <w:sz w:val="20"/>
                <w:szCs w:val="20"/>
              </w:rPr>
              <w:t>)</w:t>
            </w:r>
          </w:p>
        </w:tc>
        <w:tc>
          <w:tcPr>
            <w:tcW w:w="854" w:type="dxa"/>
          </w:tcPr>
          <w:p w14:paraId="54A60276" w14:textId="1DB43EF9" w:rsidR="009579B7" w:rsidRPr="00567A4A" w:rsidRDefault="008D5625" w:rsidP="004C1B78">
            <w:pPr>
              <w:rPr>
                <w:sz w:val="20"/>
                <w:szCs w:val="20"/>
              </w:rPr>
            </w:pPr>
            <w:r>
              <w:rPr>
                <w:sz w:val="20"/>
                <w:szCs w:val="20"/>
              </w:rPr>
              <w:t>-0.055 (0.56)</w:t>
            </w:r>
          </w:p>
        </w:tc>
        <w:tc>
          <w:tcPr>
            <w:tcW w:w="854" w:type="dxa"/>
            <w:shd w:val="clear" w:color="auto" w:fill="auto"/>
          </w:tcPr>
          <w:p w14:paraId="2C2526F5" w14:textId="62F2FEAC" w:rsidR="009579B7" w:rsidRPr="00567A4A" w:rsidRDefault="00F0379C" w:rsidP="00F0379C">
            <w:pPr>
              <w:rPr>
                <w:sz w:val="20"/>
                <w:szCs w:val="20"/>
              </w:rPr>
            </w:pPr>
            <w:r>
              <w:rPr>
                <w:sz w:val="20"/>
                <w:szCs w:val="20"/>
              </w:rPr>
              <w:t>-0.12</w:t>
            </w:r>
            <w:r w:rsidR="009579B7" w:rsidRPr="00567A4A">
              <w:rPr>
                <w:sz w:val="20"/>
                <w:szCs w:val="20"/>
              </w:rPr>
              <w:t xml:space="preserve"> (0.</w:t>
            </w:r>
            <w:r>
              <w:rPr>
                <w:sz w:val="20"/>
                <w:szCs w:val="20"/>
              </w:rPr>
              <w:t>19</w:t>
            </w:r>
            <w:r w:rsidR="009579B7" w:rsidRPr="00567A4A">
              <w:rPr>
                <w:sz w:val="20"/>
                <w:szCs w:val="20"/>
              </w:rPr>
              <w:t>)</w:t>
            </w:r>
          </w:p>
        </w:tc>
        <w:tc>
          <w:tcPr>
            <w:tcW w:w="840" w:type="dxa"/>
            <w:shd w:val="clear" w:color="auto" w:fill="auto"/>
          </w:tcPr>
          <w:p w14:paraId="2854419F" w14:textId="18FE2433" w:rsidR="009579B7" w:rsidRPr="00567A4A" w:rsidRDefault="009579B7" w:rsidP="004C1B78">
            <w:pPr>
              <w:rPr>
                <w:b/>
                <w:sz w:val="20"/>
                <w:szCs w:val="20"/>
              </w:rPr>
            </w:pPr>
            <w:r w:rsidRPr="00567A4A">
              <w:rPr>
                <w:b/>
                <w:sz w:val="20"/>
                <w:szCs w:val="20"/>
              </w:rPr>
              <w:t>-</w:t>
            </w:r>
            <w:r w:rsidR="00284042">
              <w:rPr>
                <w:b/>
                <w:sz w:val="20"/>
                <w:szCs w:val="20"/>
              </w:rPr>
              <w:t>0.19 (0.04</w:t>
            </w:r>
            <w:r w:rsidRPr="00567A4A">
              <w:rPr>
                <w:b/>
                <w:sz w:val="20"/>
                <w:szCs w:val="20"/>
              </w:rPr>
              <w:t>)*</w:t>
            </w:r>
          </w:p>
        </w:tc>
        <w:tc>
          <w:tcPr>
            <w:tcW w:w="854" w:type="dxa"/>
            <w:shd w:val="clear" w:color="auto" w:fill="auto"/>
          </w:tcPr>
          <w:p w14:paraId="43664894" w14:textId="371FE500" w:rsidR="009579B7" w:rsidRPr="00567A4A" w:rsidRDefault="00461677" w:rsidP="00461677">
            <w:pPr>
              <w:rPr>
                <w:sz w:val="20"/>
                <w:szCs w:val="20"/>
              </w:rPr>
            </w:pPr>
            <w:r>
              <w:rPr>
                <w:sz w:val="20"/>
                <w:szCs w:val="20"/>
              </w:rPr>
              <w:t>-0.14</w:t>
            </w:r>
            <w:r w:rsidR="009579B7" w:rsidRPr="00567A4A">
              <w:rPr>
                <w:sz w:val="20"/>
                <w:szCs w:val="20"/>
              </w:rPr>
              <w:t xml:space="preserve"> (0.</w:t>
            </w:r>
            <w:r>
              <w:rPr>
                <w:sz w:val="20"/>
                <w:szCs w:val="20"/>
              </w:rPr>
              <w:t>12</w:t>
            </w:r>
            <w:r w:rsidR="009579B7" w:rsidRPr="00567A4A">
              <w:rPr>
                <w:sz w:val="20"/>
                <w:szCs w:val="20"/>
              </w:rPr>
              <w:t>)</w:t>
            </w:r>
          </w:p>
        </w:tc>
        <w:tc>
          <w:tcPr>
            <w:tcW w:w="826" w:type="dxa"/>
            <w:shd w:val="clear" w:color="auto" w:fill="auto"/>
          </w:tcPr>
          <w:p w14:paraId="45FB2B1C" w14:textId="4B955A55" w:rsidR="009579B7" w:rsidRPr="00567A4A" w:rsidRDefault="009579B7" w:rsidP="00663A58">
            <w:pPr>
              <w:rPr>
                <w:sz w:val="20"/>
                <w:szCs w:val="20"/>
              </w:rPr>
            </w:pPr>
            <w:r w:rsidRPr="00567A4A">
              <w:rPr>
                <w:sz w:val="20"/>
                <w:szCs w:val="20"/>
              </w:rPr>
              <w:t>0</w:t>
            </w:r>
            <w:r w:rsidR="00663A58">
              <w:rPr>
                <w:sz w:val="20"/>
                <w:szCs w:val="20"/>
              </w:rPr>
              <w:t>.06</w:t>
            </w:r>
            <w:r w:rsidRPr="00567A4A">
              <w:rPr>
                <w:sz w:val="20"/>
                <w:szCs w:val="20"/>
              </w:rPr>
              <w:t xml:space="preserve"> (0.</w:t>
            </w:r>
            <w:r w:rsidR="00663A58">
              <w:rPr>
                <w:sz w:val="20"/>
                <w:szCs w:val="20"/>
              </w:rPr>
              <w:t>48</w:t>
            </w:r>
            <w:r w:rsidRPr="00567A4A">
              <w:rPr>
                <w:sz w:val="20"/>
                <w:szCs w:val="20"/>
              </w:rPr>
              <w:t>)</w:t>
            </w:r>
          </w:p>
        </w:tc>
        <w:tc>
          <w:tcPr>
            <w:tcW w:w="842" w:type="dxa"/>
            <w:shd w:val="clear" w:color="auto" w:fill="auto"/>
          </w:tcPr>
          <w:p w14:paraId="4FB1A6BD" w14:textId="39430064" w:rsidR="009579B7" w:rsidRPr="00567A4A" w:rsidRDefault="00625B17" w:rsidP="00625B17">
            <w:pPr>
              <w:rPr>
                <w:sz w:val="20"/>
                <w:szCs w:val="20"/>
              </w:rPr>
            </w:pPr>
            <w:r>
              <w:rPr>
                <w:sz w:val="20"/>
                <w:szCs w:val="20"/>
              </w:rPr>
              <w:t>0.03</w:t>
            </w:r>
            <w:r w:rsidR="009579B7" w:rsidRPr="00567A4A">
              <w:rPr>
                <w:sz w:val="20"/>
                <w:szCs w:val="20"/>
              </w:rPr>
              <w:t xml:space="preserve"> (0.</w:t>
            </w:r>
            <w:r>
              <w:rPr>
                <w:sz w:val="20"/>
                <w:szCs w:val="20"/>
              </w:rPr>
              <w:t>75</w:t>
            </w:r>
            <w:r w:rsidR="009579B7" w:rsidRPr="00567A4A">
              <w:rPr>
                <w:sz w:val="20"/>
                <w:szCs w:val="20"/>
              </w:rPr>
              <w:t>)</w:t>
            </w:r>
          </w:p>
        </w:tc>
        <w:tc>
          <w:tcPr>
            <w:tcW w:w="847" w:type="dxa"/>
            <w:shd w:val="clear" w:color="auto" w:fill="auto"/>
          </w:tcPr>
          <w:p w14:paraId="6D568B21" w14:textId="33DDC95D" w:rsidR="009579B7" w:rsidRPr="00567A4A" w:rsidRDefault="009579B7" w:rsidP="00C50420">
            <w:pPr>
              <w:rPr>
                <w:sz w:val="20"/>
                <w:szCs w:val="20"/>
              </w:rPr>
            </w:pPr>
            <w:r w:rsidRPr="00567A4A">
              <w:rPr>
                <w:sz w:val="20"/>
                <w:szCs w:val="20"/>
              </w:rPr>
              <w:t>0</w:t>
            </w:r>
            <w:r w:rsidR="00C50420">
              <w:rPr>
                <w:sz w:val="20"/>
                <w:szCs w:val="20"/>
              </w:rPr>
              <w:t>.0</w:t>
            </w:r>
            <w:r w:rsidRPr="00567A4A">
              <w:rPr>
                <w:sz w:val="20"/>
                <w:szCs w:val="20"/>
              </w:rPr>
              <w:t>3 (0.</w:t>
            </w:r>
            <w:r w:rsidR="00C50420">
              <w:rPr>
                <w:sz w:val="20"/>
                <w:szCs w:val="20"/>
              </w:rPr>
              <w:t>77</w:t>
            </w:r>
            <w:r w:rsidRPr="00567A4A">
              <w:rPr>
                <w:sz w:val="20"/>
                <w:szCs w:val="20"/>
              </w:rPr>
              <w:t>)</w:t>
            </w:r>
          </w:p>
        </w:tc>
        <w:tc>
          <w:tcPr>
            <w:tcW w:w="957" w:type="dxa"/>
            <w:shd w:val="clear" w:color="auto" w:fill="auto"/>
          </w:tcPr>
          <w:p w14:paraId="2C247577" w14:textId="031503DA" w:rsidR="009579B7" w:rsidRPr="00567A4A" w:rsidRDefault="009579B7" w:rsidP="00857DCC">
            <w:pPr>
              <w:rPr>
                <w:sz w:val="20"/>
                <w:szCs w:val="20"/>
              </w:rPr>
            </w:pPr>
            <w:r w:rsidRPr="00567A4A">
              <w:rPr>
                <w:sz w:val="20"/>
                <w:szCs w:val="20"/>
              </w:rPr>
              <w:t>-</w:t>
            </w:r>
            <w:r w:rsidR="00857DCC">
              <w:rPr>
                <w:sz w:val="20"/>
                <w:szCs w:val="20"/>
              </w:rPr>
              <w:t>0.06</w:t>
            </w:r>
            <w:r w:rsidRPr="00567A4A">
              <w:rPr>
                <w:sz w:val="20"/>
                <w:szCs w:val="20"/>
              </w:rPr>
              <w:t xml:space="preserve"> (0.</w:t>
            </w:r>
            <w:r w:rsidR="00857DCC">
              <w:rPr>
                <w:sz w:val="20"/>
                <w:szCs w:val="20"/>
              </w:rPr>
              <w:t>5</w:t>
            </w:r>
            <w:r w:rsidRPr="00567A4A">
              <w:rPr>
                <w:sz w:val="20"/>
                <w:szCs w:val="20"/>
              </w:rPr>
              <w:t>)</w:t>
            </w:r>
          </w:p>
        </w:tc>
        <w:tc>
          <w:tcPr>
            <w:tcW w:w="957" w:type="dxa"/>
            <w:shd w:val="clear" w:color="auto" w:fill="auto"/>
          </w:tcPr>
          <w:p w14:paraId="0DBB0F1B" w14:textId="7DD8CB7D" w:rsidR="009579B7" w:rsidRPr="00567A4A" w:rsidRDefault="009579B7" w:rsidP="0079183F">
            <w:pPr>
              <w:rPr>
                <w:sz w:val="20"/>
                <w:szCs w:val="20"/>
              </w:rPr>
            </w:pPr>
            <w:r w:rsidRPr="00567A4A">
              <w:rPr>
                <w:sz w:val="20"/>
                <w:szCs w:val="20"/>
              </w:rPr>
              <w:t>-</w:t>
            </w:r>
            <w:r w:rsidR="0079183F">
              <w:rPr>
                <w:sz w:val="20"/>
                <w:szCs w:val="20"/>
              </w:rPr>
              <w:t>0.14</w:t>
            </w:r>
            <w:r w:rsidRPr="00567A4A">
              <w:rPr>
                <w:sz w:val="20"/>
                <w:szCs w:val="20"/>
              </w:rPr>
              <w:t xml:space="preserve"> (0.1</w:t>
            </w:r>
            <w:r w:rsidR="0079183F">
              <w:rPr>
                <w:sz w:val="20"/>
                <w:szCs w:val="20"/>
              </w:rPr>
              <w:t>4</w:t>
            </w:r>
            <w:r w:rsidRPr="00567A4A">
              <w:rPr>
                <w:sz w:val="20"/>
                <w:szCs w:val="20"/>
              </w:rPr>
              <w:t>)</w:t>
            </w:r>
          </w:p>
        </w:tc>
      </w:tr>
      <w:tr w:rsidR="009579B7" w:rsidRPr="004C1B78" w14:paraId="0D674853" w14:textId="77777777" w:rsidTr="009579B7">
        <w:tc>
          <w:tcPr>
            <w:tcW w:w="1087" w:type="dxa"/>
            <w:shd w:val="clear" w:color="auto" w:fill="auto"/>
          </w:tcPr>
          <w:p w14:paraId="7EB2951D" w14:textId="77777777" w:rsidR="009579B7" w:rsidRPr="00567A4A" w:rsidRDefault="009579B7" w:rsidP="004C1B78">
            <w:pPr>
              <w:rPr>
                <w:b/>
                <w:sz w:val="20"/>
                <w:szCs w:val="20"/>
              </w:rPr>
            </w:pPr>
            <w:r w:rsidRPr="00567A4A">
              <w:rPr>
                <w:b/>
                <w:sz w:val="20"/>
                <w:szCs w:val="20"/>
              </w:rPr>
              <w:t>Hippo-campus R</w:t>
            </w:r>
          </w:p>
        </w:tc>
        <w:tc>
          <w:tcPr>
            <w:tcW w:w="952" w:type="dxa"/>
            <w:shd w:val="clear" w:color="auto" w:fill="auto"/>
          </w:tcPr>
          <w:p w14:paraId="240F62BD" w14:textId="37DC473B" w:rsidR="009579B7" w:rsidRPr="00567A4A" w:rsidRDefault="00065511" w:rsidP="004C1B78">
            <w:pPr>
              <w:rPr>
                <w:sz w:val="20"/>
                <w:szCs w:val="20"/>
              </w:rPr>
            </w:pPr>
            <w:r>
              <w:rPr>
                <w:sz w:val="20"/>
                <w:szCs w:val="20"/>
              </w:rPr>
              <w:t>-0.005 (0.96</w:t>
            </w:r>
            <w:r w:rsidR="009579B7" w:rsidRPr="00567A4A">
              <w:rPr>
                <w:sz w:val="20"/>
                <w:szCs w:val="20"/>
              </w:rPr>
              <w:t>)</w:t>
            </w:r>
          </w:p>
        </w:tc>
        <w:tc>
          <w:tcPr>
            <w:tcW w:w="854" w:type="dxa"/>
          </w:tcPr>
          <w:p w14:paraId="0462E759" w14:textId="1A17CA2F" w:rsidR="009579B7" w:rsidRPr="00567A4A" w:rsidRDefault="008D5625" w:rsidP="004C1B78">
            <w:pPr>
              <w:rPr>
                <w:sz w:val="20"/>
                <w:szCs w:val="20"/>
              </w:rPr>
            </w:pPr>
            <w:r>
              <w:rPr>
                <w:sz w:val="20"/>
                <w:szCs w:val="20"/>
              </w:rPr>
              <w:t>0.025 (0.79)</w:t>
            </w:r>
          </w:p>
        </w:tc>
        <w:tc>
          <w:tcPr>
            <w:tcW w:w="854" w:type="dxa"/>
            <w:shd w:val="clear" w:color="auto" w:fill="auto"/>
          </w:tcPr>
          <w:p w14:paraId="7D4BA108" w14:textId="62791F6B" w:rsidR="009579B7" w:rsidRPr="00567A4A" w:rsidRDefault="00F0379C" w:rsidP="004C1B78">
            <w:pPr>
              <w:rPr>
                <w:sz w:val="20"/>
                <w:szCs w:val="20"/>
              </w:rPr>
            </w:pPr>
            <w:r>
              <w:rPr>
                <w:sz w:val="20"/>
                <w:szCs w:val="20"/>
              </w:rPr>
              <w:t>-0.04 (0.65</w:t>
            </w:r>
            <w:r w:rsidR="009579B7" w:rsidRPr="00567A4A">
              <w:rPr>
                <w:sz w:val="20"/>
                <w:szCs w:val="20"/>
              </w:rPr>
              <w:t>)</w:t>
            </w:r>
          </w:p>
        </w:tc>
        <w:tc>
          <w:tcPr>
            <w:tcW w:w="840" w:type="dxa"/>
            <w:shd w:val="clear" w:color="auto" w:fill="auto"/>
          </w:tcPr>
          <w:p w14:paraId="596DAED5" w14:textId="69E9E435" w:rsidR="009579B7" w:rsidRPr="00567A4A" w:rsidRDefault="00284042" w:rsidP="004C1B78">
            <w:pPr>
              <w:rPr>
                <w:sz w:val="20"/>
                <w:szCs w:val="20"/>
              </w:rPr>
            </w:pPr>
            <w:r>
              <w:rPr>
                <w:sz w:val="20"/>
                <w:szCs w:val="20"/>
              </w:rPr>
              <w:t>0.06 (0.52</w:t>
            </w:r>
            <w:r w:rsidR="009579B7" w:rsidRPr="00567A4A">
              <w:rPr>
                <w:sz w:val="20"/>
                <w:szCs w:val="20"/>
              </w:rPr>
              <w:t>)</w:t>
            </w:r>
          </w:p>
        </w:tc>
        <w:tc>
          <w:tcPr>
            <w:tcW w:w="854" w:type="dxa"/>
            <w:shd w:val="clear" w:color="auto" w:fill="auto"/>
          </w:tcPr>
          <w:p w14:paraId="5FD91631" w14:textId="073D9F5E" w:rsidR="009579B7" w:rsidRPr="00567A4A" w:rsidRDefault="00461677" w:rsidP="004C1B78">
            <w:pPr>
              <w:rPr>
                <w:sz w:val="20"/>
                <w:szCs w:val="20"/>
              </w:rPr>
            </w:pPr>
            <w:r>
              <w:rPr>
                <w:sz w:val="20"/>
                <w:szCs w:val="20"/>
              </w:rPr>
              <w:t>0.03 (0.77</w:t>
            </w:r>
            <w:r w:rsidR="009579B7" w:rsidRPr="00567A4A">
              <w:rPr>
                <w:sz w:val="20"/>
                <w:szCs w:val="20"/>
              </w:rPr>
              <w:t>)</w:t>
            </w:r>
          </w:p>
        </w:tc>
        <w:tc>
          <w:tcPr>
            <w:tcW w:w="826" w:type="dxa"/>
            <w:shd w:val="clear" w:color="auto" w:fill="auto"/>
          </w:tcPr>
          <w:p w14:paraId="26353676" w14:textId="01DDA77A" w:rsidR="009579B7" w:rsidRPr="00567A4A" w:rsidRDefault="00663A58" w:rsidP="004C1B78">
            <w:pPr>
              <w:rPr>
                <w:sz w:val="20"/>
                <w:szCs w:val="20"/>
              </w:rPr>
            </w:pPr>
            <w:r>
              <w:rPr>
                <w:sz w:val="20"/>
                <w:szCs w:val="20"/>
              </w:rPr>
              <w:t>0.07 (0.45</w:t>
            </w:r>
            <w:r w:rsidR="009579B7" w:rsidRPr="00567A4A">
              <w:rPr>
                <w:sz w:val="20"/>
                <w:szCs w:val="20"/>
              </w:rPr>
              <w:t>)</w:t>
            </w:r>
          </w:p>
        </w:tc>
        <w:tc>
          <w:tcPr>
            <w:tcW w:w="842" w:type="dxa"/>
            <w:shd w:val="clear" w:color="auto" w:fill="auto"/>
          </w:tcPr>
          <w:p w14:paraId="62770C7B" w14:textId="08D45D23" w:rsidR="009579B7" w:rsidRPr="00567A4A" w:rsidRDefault="009579B7" w:rsidP="00625B17">
            <w:pPr>
              <w:rPr>
                <w:sz w:val="20"/>
                <w:szCs w:val="20"/>
              </w:rPr>
            </w:pPr>
            <w:r w:rsidRPr="00567A4A">
              <w:rPr>
                <w:sz w:val="20"/>
                <w:szCs w:val="20"/>
              </w:rPr>
              <w:t>0.</w:t>
            </w:r>
            <w:r w:rsidR="00625B17">
              <w:rPr>
                <w:sz w:val="20"/>
                <w:szCs w:val="20"/>
              </w:rPr>
              <w:t>008</w:t>
            </w:r>
            <w:r w:rsidRPr="00567A4A">
              <w:rPr>
                <w:sz w:val="20"/>
                <w:szCs w:val="20"/>
              </w:rPr>
              <w:t xml:space="preserve"> (0.</w:t>
            </w:r>
            <w:r w:rsidR="00625B17">
              <w:rPr>
                <w:sz w:val="20"/>
                <w:szCs w:val="20"/>
              </w:rPr>
              <w:t>93</w:t>
            </w:r>
            <w:r w:rsidRPr="00567A4A">
              <w:rPr>
                <w:sz w:val="20"/>
                <w:szCs w:val="20"/>
              </w:rPr>
              <w:t>)</w:t>
            </w:r>
          </w:p>
        </w:tc>
        <w:tc>
          <w:tcPr>
            <w:tcW w:w="847" w:type="dxa"/>
            <w:shd w:val="clear" w:color="auto" w:fill="auto"/>
          </w:tcPr>
          <w:p w14:paraId="0C26ACB1" w14:textId="5A466CEB" w:rsidR="009579B7" w:rsidRPr="00567A4A" w:rsidRDefault="009579B7" w:rsidP="004C1B78">
            <w:pPr>
              <w:rPr>
                <w:sz w:val="20"/>
                <w:szCs w:val="20"/>
              </w:rPr>
            </w:pPr>
            <w:r w:rsidRPr="00567A4A">
              <w:rPr>
                <w:sz w:val="20"/>
                <w:szCs w:val="20"/>
              </w:rPr>
              <w:t>-</w:t>
            </w:r>
            <w:r w:rsidR="00C50420">
              <w:rPr>
                <w:sz w:val="20"/>
                <w:szCs w:val="20"/>
              </w:rPr>
              <w:t>0.13 (0.15</w:t>
            </w:r>
            <w:r w:rsidRPr="00567A4A">
              <w:rPr>
                <w:sz w:val="20"/>
                <w:szCs w:val="20"/>
              </w:rPr>
              <w:t>)</w:t>
            </w:r>
          </w:p>
        </w:tc>
        <w:tc>
          <w:tcPr>
            <w:tcW w:w="957" w:type="dxa"/>
            <w:shd w:val="clear" w:color="auto" w:fill="auto"/>
          </w:tcPr>
          <w:p w14:paraId="42BBCC41" w14:textId="6D6FDDB3" w:rsidR="009579B7" w:rsidRPr="00567A4A" w:rsidRDefault="009579B7" w:rsidP="00857DCC">
            <w:pPr>
              <w:rPr>
                <w:sz w:val="20"/>
                <w:szCs w:val="20"/>
              </w:rPr>
            </w:pPr>
            <w:r w:rsidRPr="00567A4A">
              <w:rPr>
                <w:sz w:val="20"/>
                <w:szCs w:val="20"/>
              </w:rPr>
              <w:t>0.0</w:t>
            </w:r>
            <w:r w:rsidR="00857DCC">
              <w:rPr>
                <w:sz w:val="20"/>
                <w:szCs w:val="20"/>
              </w:rPr>
              <w:t>3 (0.72</w:t>
            </w:r>
            <w:r w:rsidRPr="00567A4A">
              <w:rPr>
                <w:sz w:val="20"/>
                <w:szCs w:val="20"/>
              </w:rPr>
              <w:t>)</w:t>
            </w:r>
          </w:p>
        </w:tc>
        <w:tc>
          <w:tcPr>
            <w:tcW w:w="957" w:type="dxa"/>
            <w:shd w:val="clear" w:color="auto" w:fill="auto"/>
          </w:tcPr>
          <w:p w14:paraId="3997BE2B" w14:textId="2FED71F8" w:rsidR="009579B7" w:rsidRPr="00567A4A" w:rsidRDefault="009579B7" w:rsidP="004C1B78">
            <w:pPr>
              <w:rPr>
                <w:sz w:val="20"/>
                <w:szCs w:val="20"/>
              </w:rPr>
            </w:pPr>
            <w:r w:rsidRPr="00567A4A">
              <w:rPr>
                <w:sz w:val="20"/>
                <w:szCs w:val="20"/>
              </w:rPr>
              <w:t>-</w:t>
            </w:r>
            <w:r w:rsidR="0079183F">
              <w:rPr>
                <w:sz w:val="20"/>
                <w:szCs w:val="20"/>
              </w:rPr>
              <w:t>0.11 (0.26</w:t>
            </w:r>
            <w:r w:rsidRPr="00567A4A">
              <w:rPr>
                <w:sz w:val="20"/>
                <w:szCs w:val="20"/>
              </w:rPr>
              <w:t>)</w:t>
            </w:r>
          </w:p>
        </w:tc>
      </w:tr>
      <w:tr w:rsidR="009579B7" w:rsidRPr="004C1B78" w14:paraId="12739212" w14:textId="77777777" w:rsidTr="009579B7">
        <w:tc>
          <w:tcPr>
            <w:tcW w:w="1087" w:type="dxa"/>
            <w:shd w:val="clear" w:color="auto" w:fill="auto"/>
          </w:tcPr>
          <w:p w14:paraId="4E4E3D51" w14:textId="77777777" w:rsidR="009579B7" w:rsidRPr="00567A4A" w:rsidRDefault="009579B7" w:rsidP="004C1B78">
            <w:pPr>
              <w:rPr>
                <w:b/>
                <w:sz w:val="20"/>
                <w:szCs w:val="20"/>
              </w:rPr>
            </w:pPr>
            <w:r w:rsidRPr="00567A4A">
              <w:rPr>
                <w:b/>
                <w:sz w:val="20"/>
                <w:szCs w:val="20"/>
              </w:rPr>
              <w:t>Hippo-campus L</w:t>
            </w:r>
          </w:p>
        </w:tc>
        <w:tc>
          <w:tcPr>
            <w:tcW w:w="952" w:type="dxa"/>
            <w:shd w:val="clear" w:color="auto" w:fill="auto"/>
          </w:tcPr>
          <w:p w14:paraId="2A9329DD" w14:textId="0E19C9D6" w:rsidR="009579B7" w:rsidRPr="00567A4A" w:rsidRDefault="009579B7" w:rsidP="004C1B78">
            <w:pPr>
              <w:rPr>
                <w:sz w:val="20"/>
                <w:szCs w:val="20"/>
              </w:rPr>
            </w:pPr>
            <w:r w:rsidRPr="00567A4A">
              <w:rPr>
                <w:sz w:val="20"/>
                <w:szCs w:val="20"/>
              </w:rPr>
              <w:t>0.0</w:t>
            </w:r>
            <w:r w:rsidR="008D5625">
              <w:rPr>
                <w:sz w:val="20"/>
                <w:szCs w:val="20"/>
              </w:rPr>
              <w:t>07 (0.94</w:t>
            </w:r>
            <w:r w:rsidRPr="00567A4A">
              <w:rPr>
                <w:sz w:val="20"/>
                <w:szCs w:val="20"/>
              </w:rPr>
              <w:t>)</w:t>
            </w:r>
          </w:p>
        </w:tc>
        <w:tc>
          <w:tcPr>
            <w:tcW w:w="854" w:type="dxa"/>
          </w:tcPr>
          <w:p w14:paraId="20463994" w14:textId="0E60E1F9" w:rsidR="009579B7" w:rsidRPr="00567A4A" w:rsidRDefault="008D5625" w:rsidP="004C1B78">
            <w:pPr>
              <w:rPr>
                <w:sz w:val="20"/>
                <w:szCs w:val="20"/>
              </w:rPr>
            </w:pPr>
            <w:r>
              <w:rPr>
                <w:sz w:val="20"/>
                <w:szCs w:val="20"/>
              </w:rPr>
              <w:t>-0.008 (0.94)</w:t>
            </w:r>
          </w:p>
        </w:tc>
        <w:tc>
          <w:tcPr>
            <w:tcW w:w="854" w:type="dxa"/>
            <w:shd w:val="clear" w:color="auto" w:fill="auto"/>
          </w:tcPr>
          <w:p w14:paraId="6AB9CA2A" w14:textId="150EBBFA" w:rsidR="009579B7" w:rsidRPr="00567A4A" w:rsidRDefault="00F0379C" w:rsidP="00F0379C">
            <w:pPr>
              <w:rPr>
                <w:sz w:val="20"/>
                <w:szCs w:val="20"/>
              </w:rPr>
            </w:pPr>
            <w:r>
              <w:rPr>
                <w:sz w:val="20"/>
                <w:szCs w:val="20"/>
              </w:rPr>
              <w:t>0.008</w:t>
            </w:r>
            <w:r w:rsidR="009579B7" w:rsidRPr="00567A4A">
              <w:rPr>
                <w:sz w:val="20"/>
                <w:szCs w:val="20"/>
              </w:rPr>
              <w:t xml:space="preserve"> (0.</w:t>
            </w:r>
            <w:r>
              <w:rPr>
                <w:sz w:val="20"/>
                <w:szCs w:val="20"/>
              </w:rPr>
              <w:t>93</w:t>
            </w:r>
            <w:r w:rsidR="009579B7" w:rsidRPr="00567A4A">
              <w:rPr>
                <w:sz w:val="20"/>
                <w:szCs w:val="20"/>
              </w:rPr>
              <w:t>)</w:t>
            </w:r>
          </w:p>
        </w:tc>
        <w:tc>
          <w:tcPr>
            <w:tcW w:w="840" w:type="dxa"/>
            <w:shd w:val="clear" w:color="auto" w:fill="auto"/>
          </w:tcPr>
          <w:p w14:paraId="748DA703" w14:textId="14474546" w:rsidR="009579B7" w:rsidRPr="00567A4A" w:rsidRDefault="009579B7" w:rsidP="00284042">
            <w:pPr>
              <w:rPr>
                <w:sz w:val="20"/>
                <w:szCs w:val="20"/>
              </w:rPr>
            </w:pPr>
            <w:r w:rsidRPr="00567A4A">
              <w:rPr>
                <w:sz w:val="20"/>
                <w:szCs w:val="20"/>
              </w:rPr>
              <w:t>0.08 (0.4</w:t>
            </w:r>
            <w:r w:rsidR="00284042">
              <w:rPr>
                <w:sz w:val="20"/>
                <w:szCs w:val="20"/>
              </w:rPr>
              <w:t>2</w:t>
            </w:r>
            <w:r w:rsidRPr="00567A4A">
              <w:rPr>
                <w:sz w:val="20"/>
                <w:szCs w:val="20"/>
              </w:rPr>
              <w:t>)</w:t>
            </w:r>
          </w:p>
        </w:tc>
        <w:tc>
          <w:tcPr>
            <w:tcW w:w="854" w:type="dxa"/>
            <w:shd w:val="clear" w:color="auto" w:fill="auto"/>
          </w:tcPr>
          <w:p w14:paraId="794D24A8" w14:textId="3A9D7D44" w:rsidR="009579B7" w:rsidRPr="00567A4A" w:rsidRDefault="009579B7" w:rsidP="004C1B78">
            <w:pPr>
              <w:rPr>
                <w:sz w:val="20"/>
                <w:szCs w:val="20"/>
              </w:rPr>
            </w:pPr>
            <w:r w:rsidRPr="00567A4A">
              <w:rPr>
                <w:sz w:val="20"/>
                <w:szCs w:val="20"/>
              </w:rPr>
              <w:t>0</w:t>
            </w:r>
            <w:r w:rsidR="00461677">
              <w:rPr>
                <w:sz w:val="20"/>
                <w:szCs w:val="20"/>
              </w:rPr>
              <w:t>.07 (0.47</w:t>
            </w:r>
            <w:r w:rsidRPr="00567A4A">
              <w:rPr>
                <w:sz w:val="20"/>
                <w:szCs w:val="20"/>
              </w:rPr>
              <w:t>)</w:t>
            </w:r>
          </w:p>
        </w:tc>
        <w:tc>
          <w:tcPr>
            <w:tcW w:w="826" w:type="dxa"/>
            <w:shd w:val="clear" w:color="auto" w:fill="auto"/>
          </w:tcPr>
          <w:p w14:paraId="1F8449ED" w14:textId="41D99F1B" w:rsidR="009579B7" w:rsidRPr="00567A4A" w:rsidRDefault="009579B7" w:rsidP="00663A58">
            <w:pPr>
              <w:rPr>
                <w:sz w:val="20"/>
                <w:szCs w:val="20"/>
              </w:rPr>
            </w:pPr>
            <w:r w:rsidRPr="00567A4A">
              <w:rPr>
                <w:sz w:val="20"/>
                <w:szCs w:val="20"/>
              </w:rPr>
              <w:t>0.07 (0.4</w:t>
            </w:r>
            <w:r w:rsidR="00663A58">
              <w:rPr>
                <w:sz w:val="20"/>
                <w:szCs w:val="20"/>
              </w:rPr>
              <w:t>7</w:t>
            </w:r>
            <w:r w:rsidRPr="00567A4A">
              <w:rPr>
                <w:sz w:val="20"/>
                <w:szCs w:val="20"/>
              </w:rPr>
              <w:t>)</w:t>
            </w:r>
          </w:p>
        </w:tc>
        <w:tc>
          <w:tcPr>
            <w:tcW w:w="842" w:type="dxa"/>
            <w:shd w:val="clear" w:color="auto" w:fill="auto"/>
          </w:tcPr>
          <w:p w14:paraId="3114DD8B" w14:textId="7B38E51E" w:rsidR="009579B7" w:rsidRPr="00567A4A" w:rsidRDefault="009579B7" w:rsidP="004C1B78">
            <w:pPr>
              <w:rPr>
                <w:sz w:val="20"/>
                <w:szCs w:val="20"/>
              </w:rPr>
            </w:pPr>
            <w:r w:rsidRPr="00567A4A">
              <w:rPr>
                <w:sz w:val="20"/>
                <w:szCs w:val="20"/>
              </w:rPr>
              <w:t>0</w:t>
            </w:r>
            <w:r w:rsidR="00625B17">
              <w:rPr>
                <w:sz w:val="20"/>
                <w:szCs w:val="20"/>
              </w:rPr>
              <w:t>.03 (0.77</w:t>
            </w:r>
            <w:r w:rsidRPr="00567A4A">
              <w:rPr>
                <w:sz w:val="20"/>
                <w:szCs w:val="20"/>
              </w:rPr>
              <w:t>)</w:t>
            </w:r>
          </w:p>
        </w:tc>
        <w:tc>
          <w:tcPr>
            <w:tcW w:w="847" w:type="dxa"/>
            <w:shd w:val="clear" w:color="auto" w:fill="auto"/>
          </w:tcPr>
          <w:p w14:paraId="0883EC2D" w14:textId="2A98452D" w:rsidR="009579B7" w:rsidRPr="00567A4A" w:rsidRDefault="00C50420" w:rsidP="00C50420">
            <w:pPr>
              <w:rPr>
                <w:sz w:val="20"/>
                <w:szCs w:val="20"/>
              </w:rPr>
            </w:pPr>
            <w:r>
              <w:rPr>
                <w:sz w:val="20"/>
                <w:szCs w:val="20"/>
              </w:rPr>
              <w:t>-0.10</w:t>
            </w:r>
            <w:r w:rsidR="009579B7" w:rsidRPr="00567A4A">
              <w:rPr>
                <w:sz w:val="20"/>
                <w:szCs w:val="20"/>
              </w:rPr>
              <w:t xml:space="preserve"> (0.3</w:t>
            </w:r>
            <w:r>
              <w:rPr>
                <w:sz w:val="20"/>
                <w:szCs w:val="20"/>
              </w:rPr>
              <w:t>0</w:t>
            </w:r>
            <w:r w:rsidR="009579B7" w:rsidRPr="00567A4A">
              <w:rPr>
                <w:sz w:val="20"/>
                <w:szCs w:val="20"/>
              </w:rPr>
              <w:t>)</w:t>
            </w:r>
          </w:p>
        </w:tc>
        <w:tc>
          <w:tcPr>
            <w:tcW w:w="957" w:type="dxa"/>
            <w:shd w:val="clear" w:color="auto" w:fill="auto"/>
          </w:tcPr>
          <w:p w14:paraId="4808232F" w14:textId="5DC67A89" w:rsidR="009579B7" w:rsidRPr="00567A4A" w:rsidRDefault="009579B7" w:rsidP="004C1B78">
            <w:pPr>
              <w:rPr>
                <w:sz w:val="20"/>
                <w:szCs w:val="20"/>
              </w:rPr>
            </w:pPr>
            <w:r w:rsidRPr="00567A4A">
              <w:rPr>
                <w:sz w:val="20"/>
                <w:szCs w:val="20"/>
              </w:rPr>
              <w:t>0</w:t>
            </w:r>
            <w:r w:rsidR="00857DCC">
              <w:rPr>
                <w:sz w:val="20"/>
                <w:szCs w:val="20"/>
              </w:rPr>
              <w:t>.08 (0.39</w:t>
            </w:r>
            <w:r w:rsidRPr="00567A4A">
              <w:rPr>
                <w:sz w:val="20"/>
                <w:szCs w:val="20"/>
              </w:rPr>
              <w:t>)</w:t>
            </w:r>
          </w:p>
        </w:tc>
        <w:tc>
          <w:tcPr>
            <w:tcW w:w="957" w:type="dxa"/>
            <w:shd w:val="clear" w:color="auto" w:fill="auto"/>
          </w:tcPr>
          <w:p w14:paraId="7B3A9BAF" w14:textId="237ACB96" w:rsidR="009579B7" w:rsidRPr="00567A4A" w:rsidRDefault="0079183F" w:rsidP="004C1B78">
            <w:pPr>
              <w:rPr>
                <w:sz w:val="20"/>
                <w:szCs w:val="20"/>
              </w:rPr>
            </w:pPr>
            <w:r>
              <w:rPr>
                <w:sz w:val="20"/>
                <w:szCs w:val="20"/>
              </w:rPr>
              <w:t>-0.04 (0.63</w:t>
            </w:r>
            <w:r w:rsidR="009579B7" w:rsidRPr="00567A4A">
              <w:rPr>
                <w:sz w:val="20"/>
                <w:szCs w:val="20"/>
              </w:rPr>
              <w:t>)</w:t>
            </w:r>
          </w:p>
        </w:tc>
      </w:tr>
      <w:tr w:rsidR="009579B7" w:rsidRPr="004C1B78" w14:paraId="077521FB" w14:textId="77777777" w:rsidTr="009579B7">
        <w:tc>
          <w:tcPr>
            <w:tcW w:w="1087" w:type="dxa"/>
            <w:shd w:val="clear" w:color="auto" w:fill="auto"/>
          </w:tcPr>
          <w:p w14:paraId="76B77C00" w14:textId="77777777" w:rsidR="009579B7" w:rsidRPr="00567A4A" w:rsidRDefault="009579B7" w:rsidP="004C1B78">
            <w:pPr>
              <w:rPr>
                <w:b/>
                <w:sz w:val="20"/>
                <w:szCs w:val="20"/>
              </w:rPr>
            </w:pPr>
            <w:r w:rsidRPr="00567A4A">
              <w:rPr>
                <w:b/>
                <w:sz w:val="20"/>
                <w:szCs w:val="20"/>
              </w:rPr>
              <w:t>WMH</w:t>
            </w:r>
          </w:p>
        </w:tc>
        <w:tc>
          <w:tcPr>
            <w:tcW w:w="952" w:type="dxa"/>
            <w:shd w:val="clear" w:color="auto" w:fill="auto"/>
          </w:tcPr>
          <w:p w14:paraId="781D066E" w14:textId="36F80D15" w:rsidR="009579B7" w:rsidRPr="00567A4A" w:rsidRDefault="00875C17" w:rsidP="004C1B78">
            <w:pPr>
              <w:rPr>
                <w:sz w:val="20"/>
                <w:szCs w:val="20"/>
              </w:rPr>
            </w:pPr>
            <w:r>
              <w:rPr>
                <w:sz w:val="20"/>
                <w:szCs w:val="20"/>
              </w:rPr>
              <w:t>0.12 (0.21</w:t>
            </w:r>
            <w:r w:rsidR="009579B7" w:rsidRPr="00567A4A">
              <w:rPr>
                <w:sz w:val="20"/>
                <w:szCs w:val="20"/>
              </w:rPr>
              <w:t>)</w:t>
            </w:r>
          </w:p>
        </w:tc>
        <w:tc>
          <w:tcPr>
            <w:tcW w:w="854" w:type="dxa"/>
          </w:tcPr>
          <w:p w14:paraId="5FA0DDAB" w14:textId="35C9CF05" w:rsidR="009579B7" w:rsidRPr="00567A4A" w:rsidRDefault="008D5625" w:rsidP="004C1B78">
            <w:pPr>
              <w:rPr>
                <w:sz w:val="20"/>
                <w:szCs w:val="20"/>
              </w:rPr>
            </w:pPr>
            <w:r>
              <w:rPr>
                <w:sz w:val="20"/>
                <w:szCs w:val="20"/>
              </w:rPr>
              <w:t>0.09  (0.33)</w:t>
            </w:r>
          </w:p>
        </w:tc>
        <w:tc>
          <w:tcPr>
            <w:tcW w:w="854" w:type="dxa"/>
            <w:shd w:val="clear" w:color="auto" w:fill="auto"/>
          </w:tcPr>
          <w:p w14:paraId="0C8CA2AD" w14:textId="0F78A2AB" w:rsidR="009579B7" w:rsidRPr="00567A4A" w:rsidRDefault="00F0379C" w:rsidP="00F0379C">
            <w:pPr>
              <w:rPr>
                <w:sz w:val="20"/>
                <w:szCs w:val="20"/>
              </w:rPr>
            </w:pPr>
            <w:r>
              <w:rPr>
                <w:sz w:val="20"/>
                <w:szCs w:val="20"/>
              </w:rPr>
              <w:t>0.07</w:t>
            </w:r>
            <w:r w:rsidR="009579B7" w:rsidRPr="00567A4A">
              <w:rPr>
                <w:sz w:val="20"/>
                <w:szCs w:val="20"/>
              </w:rPr>
              <w:t xml:space="preserve"> (0.</w:t>
            </w:r>
            <w:r>
              <w:rPr>
                <w:sz w:val="20"/>
                <w:szCs w:val="20"/>
              </w:rPr>
              <w:t>48</w:t>
            </w:r>
            <w:r w:rsidR="009579B7" w:rsidRPr="00567A4A">
              <w:rPr>
                <w:sz w:val="20"/>
                <w:szCs w:val="20"/>
              </w:rPr>
              <w:t>)</w:t>
            </w:r>
          </w:p>
        </w:tc>
        <w:tc>
          <w:tcPr>
            <w:tcW w:w="840" w:type="dxa"/>
            <w:shd w:val="clear" w:color="auto" w:fill="auto"/>
          </w:tcPr>
          <w:p w14:paraId="0A496BF1" w14:textId="2413E8FB" w:rsidR="009579B7" w:rsidRPr="00567A4A" w:rsidRDefault="009579B7" w:rsidP="004C1B78">
            <w:pPr>
              <w:rPr>
                <w:sz w:val="20"/>
                <w:szCs w:val="20"/>
              </w:rPr>
            </w:pPr>
            <w:r w:rsidRPr="00567A4A">
              <w:rPr>
                <w:sz w:val="20"/>
                <w:szCs w:val="20"/>
              </w:rPr>
              <w:t>-</w:t>
            </w:r>
            <w:r w:rsidR="00284042">
              <w:rPr>
                <w:sz w:val="20"/>
                <w:szCs w:val="20"/>
              </w:rPr>
              <w:t>0.05 (0.61</w:t>
            </w:r>
            <w:r w:rsidRPr="00567A4A">
              <w:rPr>
                <w:sz w:val="20"/>
                <w:szCs w:val="20"/>
              </w:rPr>
              <w:t>)</w:t>
            </w:r>
          </w:p>
        </w:tc>
        <w:tc>
          <w:tcPr>
            <w:tcW w:w="854" w:type="dxa"/>
            <w:shd w:val="clear" w:color="auto" w:fill="auto"/>
          </w:tcPr>
          <w:p w14:paraId="3DBEACA8" w14:textId="22100A1A" w:rsidR="009579B7" w:rsidRPr="00567A4A" w:rsidRDefault="00461677" w:rsidP="00461677">
            <w:pPr>
              <w:rPr>
                <w:sz w:val="20"/>
                <w:szCs w:val="20"/>
              </w:rPr>
            </w:pPr>
            <w:r>
              <w:rPr>
                <w:sz w:val="20"/>
                <w:szCs w:val="20"/>
              </w:rPr>
              <w:t>0.07</w:t>
            </w:r>
            <w:r w:rsidR="009579B7" w:rsidRPr="00567A4A">
              <w:rPr>
                <w:sz w:val="20"/>
                <w:szCs w:val="20"/>
              </w:rPr>
              <w:t xml:space="preserve"> (0.</w:t>
            </w:r>
            <w:r>
              <w:rPr>
                <w:sz w:val="20"/>
                <w:szCs w:val="20"/>
              </w:rPr>
              <w:t>48</w:t>
            </w:r>
            <w:r w:rsidR="009579B7" w:rsidRPr="00567A4A">
              <w:rPr>
                <w:sz w:val="20"/>
                <w:szCs w:val="20"/>
              </w:rPr>
              <w:t>)</w:t>
            </w:r>
          </w:p>
        </w:tc>
        <w:tc>
          <w:tcPr>
            <w:tcW w:w="826" w:type="dxa"/>
            <w:shd w:val="clear" w:color="auto" w:fill="auto"/>
          </w:tcPr>
          <w:p w14:paraId="56F27409" w14:textId="075172D4" w:rsidR="009579B7" w:rsidRPr="00567A4A" w:rsidRDefault="009579B7" w:rsidP="004C1B78">
            <w:pPr>
              <w:rPr>
                <w:sz w:val="20"/>
                <w:szCs w:val="20"/>
              </w:rPr>
            </w:pPr>
            <w:r w:rsidRPr="00567A4A">
              <w:rPr>
                <w:sz w:val="20"/>
                <w:szCs w:val="20"/>
              </w:rPr>
              <w:t>0</w:t>
            </w:r>
            <w:r w:rsidR="00663A58">
              <w:rPr>
                <w:sz w:val="20"/>
                <w:szCs w:val="20"/>
              </w:rPr>
              <w:t>.13 (0.16</w:t>
            </w:r>
            <w:r w:rsidRPr="00567A4A">
              <w:rPr>
                <w:sz w:val="20"/>
                <w:szCs w:val="20"/>
              </w:rPr>
              <w:t>)</w:t>
            </w:r>
          </w:p>
        </w:tc>
        <w:tc>
          <w:tcPr>
            <w:tcW w:w="842" w:type="dxa"/>
            <w:shd w:val="clear" w:color="auto" w:fill="auto"/>
          </w:tcPr>
          <w:p w14:paraId="2E5A504B" w14:textId="48BBAD81" w:rsidR="009579B7" w:rsidRPr="00567A4A" w:rsidRDefault="009579B7" w:rsidP="004C1B78">
            <w:pPr>
              <w:rPr>
                <w:sz w:val="20"/>
                <w:szCs w:val="20"/>
              </w:rPr>
            </w:pPr>
            <w:r w:rsidRPr="00567A4A">
              <w:rPr>
                <w:sz w:val="20"/>
                <w:szCs w:val="20"/>
              </w:rPr>
              <w:t>0.0</w:t>
            </w:r>
            <w:r w:rsidR="00625B17">
              <w:rPr>
                <w:sz w:val="20"/>
                <w:szCs w:val="20"/>
              </w:rPr>
              <w:t>05 (0.9</w:t>
            </w:r>
            <w:r w:rsidRPr="00567A4A">
              <w:rPr>
                <w:sz w:val="20"/>
                <w:szCs w:val="20"/>
              </w:rPr>
              <w:t>6)</w:t>
            </w:r>
          </w:p>
        </w:tc>
        <w:tc>
          <w:tcPr>
            <w:tcW w:w="847" w:type="dxa"/>
            <w:shd w:val="clear" w:color="auto" w:fill="auto"/>
          </w:tcPr>
          <w:p w14:paraId="59C70A9C" w14:textId="2E2C03EF" w:rsidR="009579B7" w:rsidRPr="00567A4A" w:rsidRDefault="009579B7" w:rsidP="00C50420">
            <w:pPr>
              <w:rPr>
                <w:sz w:val="20"/>
                <w:szCs w:val="20"/>
              </w:rPr>
            </w:pPr>
            <w:r w:rsidRPr="00567A4A">
              <w:rPr>
                <w:sz w:val="20"/>
                <w:szCs w:val="20"/>
              </w:rPr>
              <w:t>-0</w:t>
            </w:r>
            <w:r w:rsidR="00C50420">
              <w:rPr>
                <w:sz w:val="20"/>
                <w:szCs w:val="20"/>
              </w:rPr>
              <w:t>.03</w:t>
            </w:r>
            <w:r w:rsidRPr="00567A4A">
              <w:rPr>
                <w:sz w:val="20"/>
                <w:szCs w:val="20"/>
              </w:rPr>
              <w:t xml:space="preserve"> (0.</w:t>
            </w:r>
            <w:r w:rsidR="00C50420">
              <w:rPr>
                <w:sz w:val="20"/>
                <w:szCs w:val="20"/>
              </w:rPr>
              <w:t>73</w:t>
            </w:r>
            <w:r w:rsidRPr="00567A4A">
              <w:rPr>
                <w:sz w:val="20"/>
                <w:szCs w:val="20"/>
              </w:rPr>
              <w:t>)</w:t>
            </w:r>
          </w:p>
        </w:tc>
        <w:tc>
          <w:tcPr>
            <w:tcW w:w="957" w:type="dxa"/>
            <w:shd w:val="clear" w:color="auto" w:fill="auto"/>
          </w:tcPr>
          <w:p w14:paraId="43EEF9CF" w14:textId="7FE1CCFE" w:rsidR="009579B7" w:rsidRPr="00567A4A" w:rsidRDefault="009579B7" w:rsidP="004C1B78">
            <w:pPr>
              <w:rPr>
                <w:b/>
                <w:sz w:val="20"/>
                <w:szCs w:val="20"/>
              </w:rPr>
            </w:pPr>
            <w:r w:rsidRPr="00567A4A">
              <w:rPr>
                <w:b/>
                <w:sz w:val="20"/>
                <w:szCs w:val="20"/>
              </w:rPr>
              <w:t>0</w:t>
            </w:r>
            <w:r w:rsidR="00857DCC">
              <w:rPr>
                <w:b/>
                <w:sz w:val="20"/>
                <w:szCs w:val="20"/>
              </w:rPr>
              <w:t>.28</w:t>
            </w:r>
            <w:r w:rsidRPr="00567A4A">
              <w:rPr>
                <w:b/>
                <w:sz w:val="20"/>
                <w:szCs w:val="20"/>
              </w:rPr>
              <w:t xml:space="preserve"> (0.002)*</w:t>
            </w:r>
          </w:p>
        </w:tc>
        <w:tc>
          <w:tcPr>
            <w:tcW w:w="957" w:type="dxa"/>
            <w:shd w:val="clear" w:color="auto" w:fill="auto"/>
          </w:tcPr>
          <w:p w14:paraId="41F24CB2" w14:textId="1280726C" w:rsidR="009579B7" w:rsidRPr="00567A4A" w:rsidRDefault="0079183F" w:rsidP="004C1B78">
            <w:pPr>
              <w:rPr>
                <w:sz w:val="20"/>
                <w:szCs w:val="20"/>
              </w:rPr>
            </w:pPr>
            <w:r>
              <w:rPr>
                <w:sz w:val="20"/>
                <w:szCs w:val="20"/>
              </w:rPr>
              <w:t>-0.06 (0.51</w:t>
            </w:r>
            <w:r w:rsidR="009579B7" w:rsidRPr="00567A4A">
              <w:rPr>
                <w:sz w:val="20"/>
                <w:szCs w:val="20"/>
              </w:rPr>
              <w:t>)</w:t>
            </w:r>
          </w:p>
        </w:tc>
      </w:tr>
      <w:tr w:rsidR="009579B7" w:rsidRPr="004C1B78" w14:paraId="6A97FBEC" w14:textId="77777777" w:rsidTr="009579B7">
        <w:tc>
          <w:tcPr>
            <w:tcW w:w="9870" w:type="dxa"/>
            <w:gridSpan w:val="11"/>
          </w:tcPr>
          <w:p w14:paraId="33A56171" w14:textId="3964DE62" w:rsidR="009579B7" w:rsidRPr="00567A4A" w:rsidRDefault="009579B7" w:rsidP="004C1B78">
            <w:pPr>
              <w:rPr>
                <w:b/>
                <w:sz w:val="20"/>
                <w:szCs w:val="20"/>
              </w:rPr>
            </w:pPr>
            <w:r w:rsidRPr="00567A4A">
              <w:rPr>
                <w:b/>
                <w:sz w:val="20"/>
                <w:szCs w:val="20"/>
              </w:rPr>
              <w:t>Cognition at mean age 72.7 years</w:t>
            </w:r>
          </w:p>
        </w:tc>
      </w:tr>
      <w:tr w:rsidR="009579B7" w:rsidRPr="004C1B78" w14:paraId="2FF7F462" w14:textId="77777777" w:rsidTr="009579B7">
        <w:tc>
          <w:tcPr>
            <w:tcW w:w="1087" w:type="dxa"/>
            <w:shd w:val="clear" w:color="auto" w:fill="auto"/>
          </w:tcPr>
          <w:p w14:paraId="63A87EB3" w14:textId="77777777" w:rsidR="009579B7" w:rsidRPr="00567A4A" w:rsidRDefault="009579B7" w:rsidP="004C1B78">
            <w:pPr>
              <w:rPr>
                <w:b/>
                <w:sz w:val="20"/>
                <w:szCs w:val="20"/>
              </w:rPr>
            </w:pPr>
            <w:r w:rsidRPr="00567A4A">
              <w:rPr>
                <w:b/>
                <w:sz w:val="20"/>
                <w:szCs w:val="20"/>
              </w:rPr>
              <w:t>g</w:t>
            </w:r>
          </w:p>
        </w:tc>
        <w:tc>
          <w:tcPr>
            <w:tcW w:w="952" w:type="dxa"/>
            <w:shd w:val="clear" w:color="auto" w:fill="auto"/>
          </w:tcPr>
          <w:p w14:paraId="52117D6E" w14:textId="1B99A2D9" w:rsidR="009579B7" w:rsidRPr="00567A4A" w:rsidRDefault="00875C17" w:rsidP="004C1B78">
            <w:pPr>
              <w:rPr>
                <w:sz w:val="20"/>
                <w:szCs w:val="20"/>
              </w:rPr>
            </w:pPr>
            <w:r>
              <w:rPr>
                <w:sz w:val="20"/>
                <w:szCs w:val="20"/>
              </w:rPr>
              <w:t>0.03 (0.74</w:t>
            </w:r>
            <w:r w:rsidR="009579B7" w:rsidRPr="00567A4A">
              <w:rPr>
                <w:sz w:val="20"/>
                <w:szCs w:val="20"/>
              </w:rPr>
              <w:t>)</w:t>
            </w:r>
          </w:p>
        </w:tc>
        <w:tc>
          <w:tcPr>
            <w:tcW w:w="854" w:type="dxa"/>
          </w:tcPr>
          <w:p w14:paraId="1D51E4B2" w14:textId="153B7C0A" w:rsidR="009579B7" w:rsidRPr="00567A4A" w:rsidRDefault="00917E52" w:rsidP="004C1B78">
            <w:pPr>
              <w:rPr>
                <w:sz w:val="20"/>
                <w:szCs w:val="20"/>
              </w:rPr>
            </w:pPr>
            <w:r>
              <w:rPr>
                <w:sz w:val="20"/>
                <w:szCs w:val="20"/>
              </w:rPr>
              <w:t>0.04 (0.65)</w:t>
            </w:r>
          </w:p>
        </w:tc>
        <w:tc>
          <w:tcPr>
            <w:tcW w:w="854" w:type="dxa"/>
            <w:shd w:val="clear" w:color="auto" w:fill="auto"/>
          </w:tcPr>
          <w:p w14:paraId="0405CE17" w14:textId="3700AD53" w:rsidR="009579B7" w:rsidRPr="00567A4A" w:rsidRDefault="00F0379C" w:rsidP="00F0379C">
            <w:pPr>
              <w:rPr>
                <w:sz w:val="20"/>
                <w:szCs w:val="20"/>
              </w:rPr>
            </w:pPr>
            <w:r>
              <w:rPr>
                <w:sz w:val="20"/>
                <w:szCs w:val="20"/>
              </w:rPr>
              <w:t>0.07</w:t>
            </w:r>
            <w:r w:rsidR="009579B7" w:rsidRPr="00567A4A">
              <w:rPr>
                <w:sz w:val="20"/>
                <w:szCs w:val="20"/>
              </w:rPr>
              <w:t xml:space="preserve"> (0.3</w:t>
            </w:r>
            <w:r>
              <w:rPr>
                <w:sz w:val="20"/>
                <w:szCs w:val="20"/>
              </w:rPr>
              <w:t>7</w:t>
            </w:r>
            <w:r w:rsidR="009579B7" w:rsidRPr="00567A4A">
              <w:rPr>
                <w:sz w:val="20"/>
                <w:szCs w:val="20"/>
              </w:rPr>
              <w:t>)</w:t>
            </w:r>
          </w:p>
        </w:tc>
        <w:tc>
          <w:tcPr>
            <w:tcW w:w="840" w:type="dxa"/>
            <w:shd w:val="clear" w:color="auto" w:fill="auto"/>
          </w:tcPr>
          <w:p w14:paraId="6DBFF5C2" w14:textId="3470839D" w:rsidR="009579B7" w:rsidRPr="00567A4A" w:rsidRDefault="009579B7" w:rsidP="00392047">
            <w:pPr>
              <w:rPr>
                <w:b/>
                <w:sz w:val="20"/>
                <w:szCs w:val="20"/>
              </w:rPr>
            </w:pPr>
            <w:r w:rsidRPr="00392047">
              <w:rPr>
                <w:sz w:val="20"/>
                <w:szCs w:val="20"/>
              </w:rPr>
              <w:t>0</w:t>
            </w:r>
            <w:r w:rsidR="00392047" w:rsidRPr="00392047">
              <w:rPr>
                <w:sz w:val="20"/>
                <w:szCs w:val="20"/>
              </w:rPr>
              <w:t>.11</w:t>
            </w:r>
            <w:r w:rsidR="00392047">
              <w:rPr>
                <w:b/>
                <w:sz w:val="20"/>
                <w:szCs w:val="20"/>
              </w:rPr>
              <w:t xml:space="preserve"> </w:t>
            </w:r>
            <w:r w:rsidR="00392047" w:rsidRPr="00392047">
              <w:rPr>
                <w:sz w:val="20"/>
                <w:szCs w:val="20"/>
              </w:rPr>
              <w:t>(0.18</w:t>
            </w:r>
            <w:r w:rsidRPr="00392047">
              <w:rPr>
                <w:sz w:val="20"/>
                <w:szCs w:val="20"/>
              </w:rPr>
              <w:t>)</w:t>
            </w:r>
          </w:p>
        </w:tc>
        <w:tc>
          <w:tcPr>
            <w:tcW w:w="854" w:type="dxa"/>
            <w:shd w:val="clear" w:color="auto" w:fill="auto"/>
          </w:tcPr>
          <w:p w14:paraId="78441686" w14:textId="55BF99F7" w:rsidR="009579B7" w:rsidRPr="00567A4A" w:rsidRDefault="009579B7" w:rsidP="004C1B78">
            <w:pPr>
              <w:rPr>
                <w:sz w:val="20"/>
                <w:szCs w:val="20"/>
              </w:rPr>
            </w:pPr>
            <w:r w:rsidRPr="00567A4A">
              <w:rPr>
                <w:sz w:val="20"/>
                <w:szCs w:val="20"/>
              </w:rPr>
              <w:t>0</w:t>
            </w:r>
            <w:r w:rsidR="00461677">
              <w:rPr>
                <w:sz w:val="20"/>
                <w:szCs w:val="20"/>
              </w:rPr>
              <w:t>.07 (0.41</w:t>
            </w:r>
            <w:r w:rsidRPr="00567A4A">
              <w:rPr>
                <w:sz w:val="20"/>
                <w:szCs w:val="20"/>
              </w:rPr>
              <w:t>)</w:t>
            </w:r>
          </w:p>
        </w:tc>
        <w:tc>
          <w:tcPr>
            <w:tcW w:w="826" w:type="dxa"/>
            <w:shd w:val="clear" w:color="auto" w:fill="auto"/>
          </w:tcPr>
          <w:p w14:paraId="6721070B" w14:textId="0A3D4990" w:rsidR="009579B7" w:rsidRPr="00567A4A" w:rsidRDefault="00663A58" w:rsidP="00663A58">
            <w:pPr>
              <w:rPr>
                <w:sz w:val="20"/>
                <w:szCs w:val="20"/>
              </w:rPr>
            </w:pPr>
            <w:r>
              <w:rPr>
                <w:sz w:val="20"/>
                <w:szCs w:val="20"/>
              </w:rPr>
              <w:t>-0.06</w:t>
            </w:r>
            <w:r w:rsidR="009579B7" w:rsidRPr="00567A4A">
              <w:rPr>
                <w:sz w:val="20"/>
                <w:szCs w:val="20"/>
              </w:rPr>
              <w:t xml:space="preserve"> (0.</w:t>
            </w:r>
            <w:r>
              <w:rPr>
                <w:sz w:val="20"/>
                <w:szCs w:val="20"/>
              </w:rPr>
              <w:t>50</w:t>
            </w:r>
            <w:r w:rsidR="009579B7" w:rsidRPr="00567A4A">
              <w:rPr>
                <w:sz w:val="20"/>
                <w:szCs w:val="20"/>
              </w:rPr>
              <w:t>)</w:t>
            </w:r>
          </w:p>
        </w:tc>
        <w:tc>
          <w:tcPr>
            <w:tcW w:w="842" w:type="dxa"/>
            <w:shd w:val="clear" w:color="auto" w:fill="auto"/>
          </w:tcPr>
          <w:p w14:paraId="79180E47" w14:textId="35862A97" w:rsidR="009579B7" w:rsidRPr="00567A4A" w:rsidRDefault="009579B7" w:rsidP="00663A58">
            <w:pPr>
              <w:rPr>
                <w:sz w:val="20"/>
                <w:szCs w:val="20"/>
              </w:rPr>
            </w:pPr>
            <w:r w:rsidRPr="00567A4A">
              <w:rPr>
                <w:sz w:val="20"/>
                <w:szCs w:val="20"/>
              </w:rPr>
              <w:t>0.12 (0.</w:t>
            </w:r>
            <w:r w:rsidR="00663A58">
              <w:rPr>
                <w:sz w:val="20"/>
                <w:szCs w:val="20"/>
              </w:rPr>
              <w:t>17</w:t>
            </w:r>
            <w:r w:rsidRPr="00567A4A">
              <w:rPr>
                <w:sz w:val="20"/>
                <w:szCs w:val="20"/>
              </w:rPr>
              <w:t>)</w:t>
            </w:r>
          </w:p>
        </w:tc>
        <w:tc>
          <w:tcPr>
            <w:tcW w:w="847" w:type="dxa"/>
            <w:shd w:val="clear" w:color="auto" w:fill="auto"/>
          </w:tcPr>
          <w:p w14:paraId="2AE8BF77" w14:textId="632CCD6E" w:rsidR="009579B7" w:rsidRPr="00567A4A" w:rsidRDefault="009579B7" w:rsidP="004C1B78">
            <w:pPr>
              <w:rPr>
                <w:b/>
                <w:sz w:val="20"/>
                <w:szCs w:val="20"/>
              </w:rPr>
            </w:pPr>
            <w:r w:rsidRPr="00567A4A">
              <w:rPr>
                <w:b/>
                <w:sz w:val="20"/>
                <w:szCs w:val="20"/>
              </w:rPr>
              <w:t>0</w:t>
            </w:r>
            <w:r w:rsidR="00C50420">
              <w:rPr>
                <w:b/>
                <w:sz w:val="20"/>
                <w:szCs w:val="20"/>
              </w:rPr>
              <w:t>.19 (0.02</w:t>
            </w:r>
            <w:r w:rsidRPr="00567A4A">
              <w:rPr>
                <w:b/>
                <w:sz w:val="20"/>
                <w:szCs w:val="20"/>
              </w:rPr>
              <w:t>)*</w:t>
            </w:r>
          </w:p>
        </w:tc>
        <w:tc>
          <w:tcPr>
            <w:tcW w:w="957" w:type="dxa"/>
            <w:shd w:val="clear" w:color="auto" w:fill="auto"/>
          </w:tcPr>
          <w:p w14:paraId="3E0613DE" w14:textId="53C8E0D8" w:rsidR="009579B7" w:rsidRPr="00567A4A" w:rsidRDefault="00857DCC" w:rsidP="004C1B78">
            <w:pPr>
              <w:rPr>
                <w:sz w:val="20"/>
                <w:szCs w:val="20"/>
              </w:rPr>
            </w:pPr>
            <w:r>
              <w:rPr>
                <w:sz w:val="20"/>
                <w:szCs w:val="20"/>
              </w:rPr>
              <w:t>-0.08 (0.35</w:t>
            </w:r>
            <w:r w:rsidR="009579B7" w:rsidRPr="00567A4A">
              <w:rPr>
                <w:sz w:val="20"/>
                <w:szCs w:val="20"/>
              </w:rPr>
              <w:t>)</w:t>
            </w:r>
          </w:p>
        </w:tc>
        <w:tc>
          <w:tcPr>
            <w:tcW w:w="957" w:type="dxa"/>
            <w:shd w:val="clear" w:color="auto" w:fill="auto"/>
          </w:tcPr>
          <w:p w14:paraId="0A350B1C" w14:textId="68366B28" w:rsidR="009579B7" w:rsidRPr="00567A4A" w:rsidRDefault="00857DCC" w:rsidP="004C1B78">
            <w:pPr>
              <w:rPr>
                <w:sz w:val="20"/>
                <w:szCs w:val="20"/>
              </w:rPr>
            </w:pPr>
            <w:r>
              <w:rPr>
                <w:sz w:val="20"/>
                <w:szCs w:val="20"/>
              </w:rPr>
              <w:t>0.13 (0.12</w:t>
            </w:r>
            <w:r w:rsidR="009579B7" w:rsidRPr="00567A4A">
              <w:rPr>
                <w:sz w:val="20"/>
                <w:szCs w:val="20"/>
              </w:rPr>
              <w:t>)</w:t>
            </w:r>
          </w:p>
        </w:tc>
      </w:tr>
      <w:tr w:rsidR="009579B7" w:rsidRPr="004C1B78" w14:paraId="232A060C" w14:textId="77777777" w:rsidTr="009579B7">
        <w:tc>
          <w:tcPr>
            <w:tcW w:w="1087" w:type="dxa"/>
            <w:shd w:val="clear" w:color="auto" w:fill="auto"/>
          </w:tcPr>
          <w:p w14:paraId="56672AD1" w14:textId="77777777" w:rsidR="009579B7" w:rsidRPr="00567A4A" w:rsidRDefault="009579B7" w:rsidP="004C1B78">
            <w:pPr>
              <w:rPr>
                <w:b/>
                <w:sz w:val="20"/>
                <w:szCs w:val="20"/>
              </w:rPr>
            </w:pPr>
            <w:proofErr w:type="spellStart"/>
            <w:r w:rsidRPr="00567A4A">
              <w:rPr>
                <w:b/>
                <w:sz w:val="20"/>
                <w:szCs w:val="20"/>
              </w:rPr>
              <w:lastRenderedPageBreak/>
              <w:t>g_speed</w:t>
            </w:r>
            <w:proofErr w:type="spellEnd"/>
          </w:p>
        </w:tc>
        <w:tc>
          <w:tcPr>
            <w:tcW w:w="952" w:type="dxa"/>
            <w:shd w:val="clear" w:color="auto" w:fill="auto"/>
          </w:tcPr>
          <w:p w14:paraId="4EE27E40" w14:textId="74A5DE5E" w:rsidR="009579B7" w:rsidRPr="00567A4A" w:rsidRDefault="00875C17" w:rsidP="004C1B78">
            <w:pPr>
              <w:rPr>
                <w:sz w:val="20"/>
                <w:szCs w:val="20"/>
              </w:rPr>
            </w:pPr>
            <w:r>
              <w:rPr>
                <w:sz w:val="20"/>
                <w:szCs w:val="20"/>
              </w:rPr>
              <w:t>-0.02 (0.79</w:t>
            </w:r>
            <w:r w:rsidR="009579B7" w:rsidRPr="00567A4A">
              <w:rPr>
                <w:sz w:val="20"/>
                <w:szCs w:val="20"/>
              </w:rPr>
              <w:t>)</w:t>
            </w:r>
          </w:p>
        </w:tc>
        <w:tc>
          <w:tcPr>
            <w:tcW w:w="854" w:type="dxa"/>
          </w:tcPr>
          <w:p w14:paraId="687F2C65" w14:textId="27D4C6C6" w:rsidR="009579B7" w:rsidRPr="00567A4A" w:rsidRDefault="00917E52" w:rsidP="004C1B78">
            <w:pPr>
              <w:rPr>
                <w:sz w:val="20"/>
                <w:szCs w:val="20"/>
              </w:rPr>
            </w:pPr>
            <w:r>
              <w:rPr>
                <w:sz w:val="20"/>
                <w:szCs w:val="20"/>
              </w:rPr>
              <w:t>-0.04 (0.64)</w:t>
            </w:r>
          </w:p>
        </w:tc>
        <w:tc>
          <w:tcPr>
            <w:tcW w:w="854" w:type="dxa"/>
            <w:shd w:val="clear" w:color="auto" w:fill="auto"/>
          </w:tcPr>
          <w:p w14:paraId="62122D6C" w14:textId="121EEE27" w:rsidR="009579B7" w:rsidRPr="00567A4A" w:rsidRDefault="00F0379C" w:rsidP="00F0379C">
            <w:pPr>
              <w:rPr>
                <w:sz w:val="20"/>
                <w:szCs w:val="20"/>
              </w:rPr>
            </w:pPr>
            <w:r>
              <w:rPr>
                <w:sz w:val="20"/>
                <w:szCs w:val="20"/>
              </w:rPr>
              <w:t>0.07</w:t>
            </w:r>
            <w:r w:rsidR="009579B7" w:rsidRPr="00567A4A">
              <w:rPr>
                <w:sz w:val="20"/>
                <w:szCs w:val="20"/>
              </w:rPr>
              <w:t xml:space="preserve"> (0.</w:t>
            </w:r>
            <w:r>
              <w:rPr>
                <w:sz w:val="20"/>
                <w:szCs w:val="20"/>
              </w:rPr>
              <w:t>42</w:t>
            </w:r>
            <w:r w:rsidR="009579B7" w:rsidRPr="00567A4A">
              <w:rPr>
                <w:sz w:val="20"/>
                <w:szCs w:val="20"/>
              </w:rPr>
              <w:t>)</w:t>
            </w:r>
          </w:p>
        </w:tc>
        <w:tc>
          <w:tcPr>
            <w:tcW w:w="840" w:type="dxa"/>
            <w:shd w:val="clear" w:color="auto" w:fill="auto"/>
          </w:tcPr>
          <w:p w14:paraId="6E656FB5" w14:textId="2B668890" w:rsidR="009579B7" w:rsidRPr="00567A4A" w:rsidRDefault="009579B7" w:rsidP="004C1B78">
            <w:pPr>
              <w:rPr>
                <w:sz w:val="20"/>
                <w:szCs w:val="20"/>
              </w:rPr>
            </w:pPr>
            <w:r w:rsidRPr="00567A4A">
              <w:rPr>
                <w:sz w:val="20"/>
                <w:szCs w:val="20"/>
              </w:rPr>
              <w:t>0</w:t>
            </w:r>
            <w:r w:rsidR="00392047">
              <w:rPr>
                <w:sz w:val="20"/>
                <w:szCs w:val="20"/>
              </w:rPr>
              <w:t>.05 (0.5</w:t>
            </w:r>
            <w:r w:rsidRPr="00567A4A">
              <w:rPr>
                <w:sz w:val="20"/>
                <w:szCs w:val="20"/>
              </w:rPr>
              <w:t>3)</w:t>
            </w:r>
          </w:p>
        </w:tc>
        <w:tc>
          <w:tcPr>
            <w:tcW w:w="854" w:type="dxa"/>
            <w:shd w:val="clear" w:color="auto" w:fill="auto"/>
          </w:tcPr>
          <w:p w14:paraId="447B6D09" w14:textId="63551157" w:rsidR="009579B7" w:rsidRPr="00567A4A" w:rsidRDefault="00461677" w:rsidP="00461677">
            <w:pPr>
              <w:rPr>
                <w:sz w:val="20"/>
                <w:szCs w:val="20"/>
              </w:rPr>
            </w:pPr>
            <w:r>
              <w:rPr>
                <w:sz w:val="20"/>
                <w:szCs w:val="20"/>
              </w:rPr>
              <w:t>0.01</w:t>
            </w:r>
            <w:r w:rsidR="009579B7" w:rsidRPr="00567A4A">
              <w:rPr>
                <w:sz w:val="20"/>
                <w:szCs w:val="20"/>
              </w:rPr>
              <w:t xml:space="preserve"> (0.8</w:t>
            </w:r>
            <w:r>
              <w:rPr>
                <w:sz w:val="20"/>
                <w:szCs w:val="20"/>
              </w:rPr>
              <w:t>7</w:t>
            </w:r>
            <w:r w:rsidR="009579B7" w:rsidRPr="00567A4A">
              <w:rPr>
                <w:sz w:val="20"/>
                <w:szCs w:val="20"/>
              </w:rPr>
              <w:t>)</w:t>
            </w:r>
          </w:p>
        </w:tc>
        <w:tc>
          <w:tcPr>
            <w:tcW w:w="826" w:type="dxa"/>
            <w:shd w:val="clear" w:color="auto" w:fill="auto"/>
          </w:tcPr>
          <w:p w14:paraId="4E12DCE4" w14:textId="5763D1C6" w:rsidR="009579B7" w:rsidRPr="00567A4A" w:rsidRDefault="009579B7" w:rsidP="00663A58">
            <w:pPr>
              <w:rPr>
                <w:sz w:val="20"/>
                <w:szCs w:val="20"/>
              </w:rPr>
            </w:pPr>
            <w:r w:rsidRPr="00567A4A">
              <w:rPr>
                <w:sz w:val="20"/>
                <w:szCs w:val="20"/>
              </w:rPr>
              <w:t>-0.0</w:t>
            </w:r>
            <w:r w:rsidR="00663A58">
              <w:rPr>
                <w:sz w:val="20"/>
                <w:szCs w:val="20"/>
              </w:rPr>
              <w:t>6</w:t>
            </w:r>
            <w:r w:rsidRPr="00567A4A">
              <w:rPr>
                <w:sz w:val="20"/>
                <w:szCs w:val="20"/>
              </w:rPr>
              <w:t xml:space="preserve"> (0</w:t>
            </w:r>
            <w:r w:rsidR="00663A58">
              <w:rPr>
                <w:sz w:val="20"/>
                <w:szCs w:val="20"/>
              </w:rPr>
              <w:t>.4</w:t>
            </w:r>
            <w:r w:rsidRPr="00567A4A">
              <w:rPr>
                <w:sz w:val="20"/>
                <w:szCs w:val="20"/>
              </w:rPr>
              <w:t>9)</w:t>
            </w:r>
          </w:p>
        </w:tc>
        <w:tc>
          <w:tcPr>
            <w:tcW w:w="842" w:type="dxa"/>
            <w:shd w:val="clear" w:color="auto" w:fill="auto"/>
          </w:tcPr>
          <w:p w14:paraId="44B102E0" w14:textId="10A79671" w:rsidR="009579B7" w:rsidRPr="00567A4A" w:rsidRDefault="009579B7" w:rsidP="00663A58">
            <w:pPr>
              <w:rPr>
                <w:sz w:val="20"/>
                <w:szCs w:val="20"/>
              </w:rPr>
            </w:pPr>
            <w:r w:rsidRPr="00567A4A">
              <w:rPr>
                <w:sz w:val="20"/>
                <w:szCs w:val="20"/>
              </w:rPr>
              <w:t>-</w:t>
            </w:r>
            <w:r w:rsidR="00663A58">
              <w:rPr>
                <w:sz w:val="20"/>
                <w:szCs w:val="20"/>
              </w:rPr>
              <w:t>0.02</w:t>
            </w:r>
            <w:r w:rsidRPr="00567A4A">
              <w:rPr>
                <w:sz w:val="20"/>
                <w:szCs w:val="20"/>
              </w:rPr>
              <w:t xml:space="preserve"> (0.</w:t>
            </w:r>
            <w:r w:rsidR="00663A58">
              <w:rPr>
                <w:sz w:val="20"/>
                <w:szCs w:val="20"/>
              </w:rPr>
              <w:t>84</w:t>
            </w:r>
            <w:r w:rsidRPr="00567A4A">
              <w:rPr>
                <w:sz w:val="20"/>
                <w:szCs w:val="20"/>
              </w:rPr>
              <w:t>)</w:t>
            </w:r>
          </w:p>
        </w:tc>
        <w:tc>
          <w:tcPr>
            <w:tcW w:w="847" w:type="dxa"/>
            <w:shd w:val="clear" w:color="auto" w:fill="auto"/>
          </w:tcPr>
          <w:p w14:paraId="55C8225E" w14:textId="7DD8E8CF" w:rsidR="009579B7" w:rsidRPr="00567A4A" w:rsidRDefault="009579B7" w:rsidP="004C1B78">
            <w:pPr>
              <w:rPr>
                <w:sz w:val="20"/>
                <w:szCs w:val="20"/>
              </w:rPr>
            </w:pPr>
            <w:r w:rsidRPr="00567A4A">
              <w:rPr>
                <w:sz w:val="20"/>
                <w:szCs w:val="20"/>
              </w:rPr>
              <w:t>0</w:t>
            </w:r>
            <w:r w:rsidR="00C50420">
              <w:rPr>
                <w:sz w:val="20"/>
                <w:szCs w:val="20"/>
              </w:rPr>
              <w:t>.13 (0.13</w:t>
            </w:r>
            <w:r w:rsidRPr="00567A4A">
              <w:rPr>
                <w:sz w:val="20"/>
                <w:szCs w:val="20"/>
              </w:rPr>
              <w:t>)</w:t>
            </w:r>
          </w:p>
        </w:tc>
        <w:tc>
          <w:tcPr>
            <w:tcW w:w="957" w:type="dxa"/>
            <w:shd w:val="clear" w:color="auto" w:fill="auto"/>
          </w:tcPr>
          <w:p w14:paraId="79DB4590" w14:textId="1A22B4FF" w:rsidR="009579B7" w:rsidRPr="00567A4A" w:rsidRDefault="00857DCC" w:rsidP="00857DCC">
            <w:pPr>
              <w:rPr>
                <w:sz w:val="20"/>
                <w:szCs w:val="20"/>
              </w:rPr>
            </w:pPr>
            <w:r>
              <w:rPr>
                <w:sz w:val="20"/>
                <w:szCs w:val="20"/>
              </w:rPr>
              <w:t>0.05</w:t>
            </w:r>
            <w:r w:rsidR="009579B7" w:rsidRPr="00567A4A">
              <w:rPr>
                <w:sz w:val="20"/>
                <w:szCs w:val="20"/>
              </w:rPr>
              <w:t xml:space="preserve"> (0.</w:t>
            </w:r>
            <w:r>
              <w:rPr>
                <w:sz w:val="20"/>
                <w:szCs w:val="20"/>
              </w:rPr>
              <w:t>58</w:t>
            </w:r>
            <w:r w:rsidR="009579B7" w:rsidRPr="00567A4A">
              <w:rPr>
                <w:sz w:val="20"/>
                <w:szCs w:val="20"/>
              </w:rPr>
              <w:t>)</w:t>
            </w:r>
          </w:p>
        </w:tc>
        <w:tc>
          <w:tcPr>
            <w:tcW w:w="957" w:type="dxa"/>
            <w:shd w:val="clear" w:color="auto" w:fill="auto"/>
          </w:tcPr>
          <w:p w14:paraId="6C08A836" w14:textId="4FB9FA57" w:rsidR="009579B7" w:rsidRPr="00567A4A" w:rsidRDefault="00857DCC" w:rsidP="004C1B78">
            <w:pPr>
              <w:rPr>
                <w:sz w:val="20"/>
                <w:szCs w:val="20"/>
              </w:rPr>
            </w:pPr>
            <w:r>
              <w:rPr>
                <w:sz w:val="20"/>
                <w:szCs w:val="20"/>
              </w:rPr>
              <w:t>0.09 (0.3</w:t>
            </w:r>
            <w:r w:rsidR="009579B7" w:rsidRPr="00567A4A">
              <w:rPr>
                <w:sz w:val="20"/>
                <w:szCs w:val="20"/>
              </w:rPr>
              <w:t>0)</w:t>
            </w:r>
          </w:p>
        </w:tc>
      </w:tr>
      <w:tr w:rsidR="009579B7" w:rsidRPr="004C1B78" w14:paraId="12577912" w14:textId="77777777" w:rsidTr="009579B7">
        <w:tc>
          <w:tcPr>
            <w:tcW w:w="1087" w:type="dxa"/>
            <w:shd w:val="clear" w:color="auto" w:fill="auto"/>
          </w:tcPr>
          <w:p w14:paraId="1E36B987" w14:textId="77777777" w:rsidR="009579B7" w:rsidRPr="00567A4A" w:rsidRDefault="009579B7" w:rsidP="004C1B78">
            <w:pPr>
              <w:rPr>
                <w:b/>
                <w:sz w:val="20"/>
                <w:szCs w:val="20"/>
              </w:rPr>
            </w:pPr>
            <w:proofErr w:type="spellStart"/>
            <w:r w:rsidRPr="00567A4A">
              <w:rPr>
                <w:b/>
                <w:sz w:val="20"/>
                <w:szCs w:val="20"/>
              </w:rPr>
              <w:t>g_memory</w:t>
            </w:r>
            <w:proofErr w:type="spellEnd"/>
          </w:p>
        </w:tc>
        <w:tc>
          <w:tcPr>
            <w:tcW w:w="952" w:type="dxa"/>
            <w:shd w:val="clear" w:color="auto" w:fill="auto"/>
          </w:tcPr>
          <w:p w14:paraId="3478283D" w14:textId="14E8C873" w:rsidR="009579B7" w:rsidRPr="00567A4A" w:rsidRDefault="00875C17" w:rsidP="004C1B78">
            <w:pPr>
              <w:rPr>
                <w:sz w:val="20"/>
                <w:szCs w:val="20"/>
              </w:rPr>
            </w:pPr>
            <w:r>
              <w:rPr>
                <w:sz w:val="20"/>
                <w:szCs w:val="20"/>
              </w:rPr>
              <w:t>0.04 (0.63</w:t>
            </w:r>
            <w:r w:rsidR="009579B7" w:rsidRPr="00567A4A">
              <w:rPr>
                <w:sz w:val="20"/>
                <w:szCs w:val="20"/>
              </w:rPr>
              <w:t>)</w:t>
            </w:r>
          </w:p>
        </w:tc>
        <w:tc>
          <w:tcPr>
            <w:tcW w:w="854" w:type="dxa"/>
          </w:tcPr>
          <w:p w14:paraId="5F6826CF" w14:textId="28DA5ABF" w:rsidR="009579B7" w:rsidRPr="00567A4A" w:rsidRDefault="00917E52" w:rsidP="004C1B78">
            <w:pPr>
              <w:rPr>
                <w:sz w:val="20"/>
                <w:szCs w:val="20"/>
              </w:rPr>
            </w:pPr>
            <w:r>
              <w:rPr>
                <w:sz w:val="20"/>
                <w:szCs w:val="20"/>
              </w:rPr>
              <w:t>0.06 (0.47)</w:t>
            </w:r>
          </w:p>
        </w:tc>
        <w:tc>
          <w:tcPr>
            <w:tcW w:w="854" w:type="dxa"/>
            <w:shd w:val="clear" w:color="auto" w:fill="auto"/>
          </w:tcPr>
          <w:p w14:paraId="00AC8ED8" w14:textId="7519ABAE" w:rsidR="009579B7" w:rsidRPr="00567A4A" w:rsidRDefault="00F0379C" w:rsidP="00F0379C">
            <w:pPr>
              <w:rPr>
                <w:sz w:val="20"/>
                <w:szCs w:val="20"/>
              </w:rPr>
            </w:pPr>
            <w:r>
              <w:rPr>
                <w:sz w:val="20"/>
                <w:szCs w:val="20"/>
              </w:rPr>
              <w:t>0.05</w:t>
            </w:r>
            <w:r w:rsidR="009579B7" w:rsidRPr="00567A4A">
              <w:rPr>
                <w:sz w:val="20"/>
                <w:szCs w:val="20"/>
              </w:rPr>
              <w:t xml:space="preserve"> (0.</w:t>
            </w:r>
            <w:r>
              <w:rPr>
                <w:sz w:val="20"/>
                <w:szCs w:val="20"/>
              </w:rPr>
              <w:t>59</w:t>
            </w:r>
            <w:r w:rsidR="009579B7" w:rsidRPr="00567A4A">
              <w:rPr>
                <w:sz w:val="20"/>
                <w:szCs w:val="20"/>
              </w:rPr>
              <w:t>)</w:t>
            </w:r>
          </w:p>
        </w:tc>
        <w:tc>
          <w:tcPr>
            <w:tcW w:w="840" w:type="dxa"/>
            <w:shd w:val="clear" w:color="auto" w:fill="auto"/>
          </w:tcPr>
          <w:p w14:paraId="76F0B069" w14:textId="1461FCFC" w:rsidR="009579B7" w:rsidRPr="00567A4A" w:rsidRDefault="009579B7" w:rsidP="00392047">
            <w:pPr>
              <w:rPr>
                <w:sz w:val="20"/>
                <w:szCs w:val="20"/>
              </w:rPr>
            </w:pPr>
            <w:r w:rsidRPr="00567A4A">
              <w:rPr>
                <w:sz w:val="20"/>
                <w:szCs w:val="20"/>
              </w:rPr>
              <w:t>0</w:t>
            </w:r>
            <w:r w:rsidR="00392047">
              <w:rPr>
                <w:sz w:val="20"/>
                <w:szCs w:val="20"/>
              </w:rPr>
              <w:t>.04</w:t>
            </w:r>
            <w:r w:rsidRPr="00567A4A">
              <w:rPr>
                <w:sz w:val="20"/>
                <w:szCs w:val="20"/>
              </w:rPr>
              <w:t xml:space="preserve"> (0.</w:t>
            </w:r>
            <w:r w:rsidR="00392047">
              <w:rPr>
                <w:sz w:val="20"/>
                <w:szCs w:val="20"/>
              </w:rPr>
              <w:t>60</w:t>
            </w:r>
            <w:r w:rsidRPr="00567A4A">
              <w:rPr>
                <w:sz w:val="20"/>
                <w:szCs w:val="20"/>
              </w:rPr>
              <w:t>)</w:t>
            </w:r>
          </w:p>
        </w:tc>
        <w:tc>
          <w:tcPr>
            <w:tcW w:w="854" w:type="dxa"/>
            <w:shd w:val="clear" w:color="auto" w:fill="auto"/>
          </w:tcPr>
          <w:p w14:paraId="0AAC91FA" w14:textId="3AB1F6B3" w:rsidR="009579B7" w:rsidRPr="00567A4A" w:rsidRDefault="009579B7" w:rsidP="00461677">
            <w:pPr>
              <w:rPr>
                <w:sz w:val="20"/>
                <w:szCs w:val="20"/>
              </w:rPr>
            </w:pPr>
            <w:r w:rsidRPr="00567A4A">
              <w:rPr>
                <w:sz w:val="20"/>
                <w:szCs w:val="20"/>
              </w:rPr>
              <w:t>0.</w:t>
            </w:r>
            <w:r w:rsidR="00461677">
              <w:rPr>
                <w:sz w:val="20"/>
                <w:szCs w:val="20"/>
              </w:rPr>
              <w:t>08</w:t>
            </w:r>
            <w:r w:rsidRPr="00567A4A">
              <w:rPr>
                <w:sz w:val="20"/>
                <w:szCs w:val="20"/>
              </w:rPr>
              <w:t xml:space="preserve"> (0.</w:t>
            </w:r>
            <w:r w:rsidR="00461677">
              <w:rPr>
                <w:sz w:val="20"/>
                <w:szCs w:val="20"/>
              </w:rPr>
              <w:t>34</w:t>
            </w:r>
            <w:r w:rsidRPr="00567A4A">
              <w:rPr>
                <w:sz w:val="20"/>
                <w:szCs w:val="20"/>
              </w:rPr>
              <w:t>)</w:t>
            </w:r>
          </w:p>
        </w:tc>
        <w:tc>
          <w:tcPr>
            <w:tcW w:w="826" w:type="dxa"/>
            <w:shd w:val="clear" w:color="auto" w:fill="auto"/>
          </w:tcPr>
          <w:p w14:paraId="1968DD25" w14:textId="097CB22F" w:rsidR="009579B7" w:rsidRPr="00567A4A" w:rsidRDefault="00663A58" w:rsidP="00663A58">
            <w:pPr>
              <w:rPr>
                <w:sz w:val="20"/>
                <w:szCs w:val="20"/>
              </w:rPr>
            </w:pPr>
            <w:r>
              <w:rPr>
                <w:sz w:val="20"/>
                <w:szCs w:val="20"/>
              </w:rPr>
              <w:t>-</w:t>
            </w:r>
            <w:r w:rsidR="009579B7" w:rsidRPr="00567A4A">
              <w:rPr>
                <w:sz w:val="20"/>
                <w:szCs w:val="20"/>
              </w:rPr>
              <w:t>0</w:t>
            </w:r>
            <w:r>
              <w:rPr>
                <w:sz w:val="20"/>
                <w:szCs w:val="20"/>
              </w:rPr>
              <w:t>.05</w:t>
            </w:r>
            <w:r w:rsidR="009579B7" w:rsidRPr="00567A4A">
              <w:rPr>
                <w:sz w:val="20"/>
                <w:szCs w:val="20"/>
              </w:rPr>
              <w:t xml:space="preserve"> (0.</w:t>
            </w:r>
            <w:r>
              <w:rPr>
                <w:sz w:val="20"/>
                <w:szCs w:val="20"/>
              </w:rPr>
              <w:t>52</w:t>
            </w:r>
            <w:r w:rsidR="009579B7" w:rsidRPr="00567A4A">
              <w:rPr>
                <w:sz w:val="20"/>
                <w:szCs w:val="20"/>
              </w:rPr>
              <w:t>)</w:t>
            </w:r>
          </w:p>
        </w:tc>
        <w:tc>
          <w:tcPr>
            <w:tcW w:w="842" w:type="dxa"/>
            <w:shd w:val="clear" w:color="auto" w:fill="auto"/>
          </w:tcPr>
          <w:p w14:paraId="66F88631" w14:textId="05F7C82F" w:rsidR="009579B7" w:rsidRPr="00567A4A" w:rsidRDefault="009579B7" w:rsidP="00663A58">
            <w:pPr>
              <w:rPr>
                <w:sz w:val="20"/>
                <w:szCs w:val="20"/>
              </w:rPr>
            </w:pPr>
            <w:r w:rsidRPr="00567A4A">
              <w:rPr>
                <w:sz w:val="20"/>
                <w:szCs w:val="20"/>
              </w:rPr>
              <w:t>0.10 (0.</w:t>
            </w:r>
            <w:r w:rsidR="00663A58">
              <w:rPr>
                <w:sz w:val="20"/>
                <w:szCs w:val="20"/>
              </w:rPr>
              <w:t>23</w:t>
            </w:r>
            <w:r w:rsidRPr="00567A4A">
              <w:rPr>
                <w:sz w:val="20"/>
                <w:szCs w:val="20"/>
              </w:rPr>
              <w:t>)</w:t>
            </w:r>
          </w:p>
        </w:tc>
        <w:tc>
          <w:tcPr>
            <w:tcW w:w="847" w:type="dxa"/>
            <w:shd w:val="clear" w:color="auto" w:fill="auto"/>
          </w:tcPr>
          <w:p w14:paraId="6740F704" w14:textId="1CE326D7" w:rsidR="009579B7" w:rsidRPr="00567A4A" w:rsidRDefault="009579B7" w:rsidP="009E4601">
            <w:pPr>
              <w:rPr>
                <w:sz w:val="20"/>
                <w:szCs w:val="20"/>
              </w:rPr>
            </w:pPr>
            <w:r w:rsidRPr="00567A4A">
              <w:rPr>
                <w:sz w:val="20"/>
                <w:szCs w:val="20"/>
              </w:rPr>
              <w:t>0</w:t>
            </w:r>
            <w:r w:rsidR="009E4601">
              <w:rPr>
                <w:sz w:val="20"/>
                <w:szCs w:val="20"/>
              </w:rPr>
              <w:t>.06</w:t>
            </w:r>
            <w:r w:rsidRPr="00567A4A">
              <w:rPr>
                <w:sz w:val="20"/>
                <w:szCs w:val="20"/>
              </w:rPr>
              <w:t xml:space="preserve"> (0.</w:t>
            </w:r>
            <w:r w:rsidR="009E4601">
              <w:rPr>
                <w:sz w:val="20"/>
                <w:szCs w:val="20"/>
              </w:rPr>
              <w:t>46</w:t>
            </w:r>
            <w:r w:rsidRPr="00567A4A">
              <w:rPr>
                <w:sz w:val="20"/>
                <w:szCs w:val="20"/>
              </w:rPr>
              <w:t>)</w:t>
            </w:r>
          </w:p>
        </w:tc>
        <w:tc>
          <w:tcPr>
            <w:tcW w:w="957" w:type="dxa"/>
            <w:shd w:val="clear" w:color="auto" w:fill="auto"/>
          </w:tcPr>
          <w:p w14:paraId="42513FE7" w14:textId="2B166988" w:rsidR="009579B7" w:rsidRPr="00567A4A" w:rsidRDefault="009579B7" w:rsidP="00857DCC">
            <w:pPr>
              <w:rPr>
                <w:sz w:val="20"/>
                <w:szCs w:val="20"/>
              </w:rPr>
            </w:pPr>
            <w:r w:rsidRPr="00567A4A">
              <w:rPr>
                <w:sz w:val="20"/>
                <w:szCs w:val="20"/>
              </w:rPr>
              <w:t>0</w:t>
            </w:r>
            <w:r w:rsidR="00857DCC">
              <w:rPr>
                <w:sz w:val="20"/>
                <w:szCs w:val="20"/>
              </w:rPr>
              <w:t>.06</w:t>
            </w:r>
            <w:r w:rsidRPr="00567A4A">
              <w:rPr>
                <w:sz w:val="20"/>
                <w:szCs w:val="20"/>
              </w:rPr>
              <w:t xml:space="preserve"> (0.</w:t>
            </w:r>
            <w:r w:rsidR="00857DCC">
              <w:rPr>
                <w:sz w:val="20"/>
                <w:szCs w:val="20"/>
              </w:rPr>
              <w:t>45</w:t>
            </w:r>
            <w:r w:rsidRPr="00567A4A">
              <w:rPr>
                <w:sz w:val="20"/>
                <w:szCs w:val="20"/>
              </w:rPr>
              <w:t>)</w:t>
            </w:r>
          </w:p>
        </w:tc>
        <w:tc>
          <w:tcPr>
            <w:tcW w:w="957" w:type="dxa"/>
            <w:shd w:val="clear" w:color="auto" w:fill="auto"/>
          </w:tcPr>
          <w:p w14:paraId="420D4687" w14:textId="22B9202B" w:rsidR="009579B7" w:rsidRPr="00567A4A" w:rsidRDefault="009579B7" w:rsidP="004C1B78">
            <w:pPr>
              <w:rPr>
                <w:b/>
                <w:sz w:val="20"/>
                <w:szCs w:val="20"/>
              </w:rPr>
            </w:pPr>
            <w:r w:rsidRPr="00567A4A">
              <w:rPr>
                <w:b/>
                <w:sz w:val="20"/>
                <w:szCs w:val="20"/>
              </w:rPr>
              <w:t>0</w:t>
            </w:r>
            <w:r w:rsidR="00857DCC">
              <w:rPr>
                <w:b/>
                <w:sz w:val="20"/>
                <w:szCs w:val="20"/>
              </w:rPr>
              <w:t>.23 (0.005</w:t>
            </w:r>
            <w:r w:rsidRPr="00567A4A">
              <w:rPr>
                <w:b/>
                <w:sz w:val="20"/>
                <w:szCs w:val="20"/>
              </w:rPr>
              <w:t>)*</w:t>
            </w:r>
          </w:p>
        </w:tc>
      </w:tr>
    </w:tbl>
    <w:p w14:paraId="40CC5AB7" w14:textId="77777777" w:rsidR="004C1B78" w:rsidRDefault="004C1B78" w:rsidP="004C1B78">
      <w:pPr>
        <w:rPr>
          <w:i/>
        </w:rPr>
      </w:pPr>
      <w:r w:rsidRPr="004C1B78">
        <w:rPr>
          <w:i/>
        </w:rPr>
        <w:t>Note: L and R refer to the Right and Left brain hemispheres respectively</w:t>
      </w:r>
    </w:p>
    <w:p w14:paraId="739F9BB4" w14:textId="26D549A1" w:rsidR="00625B17" w:rsidRDefault="00625B17" w:rsidP="004C1B78">
      <w:pPr>
        <w:rPr>
          <w:i/>
        </w:rPr>
      </w:pPr>
      <w:r>
        <w:rPr>
          <w:i/>
        </w:rPr>
        <w:t>† Became non-significant when outliers were excluded (robust regression with bootstrap)</w:t>
      </w:r>
    </w:p>
    <w:p w14:paraId="7AC0FAA4" w14:textId="77777777" w:rsidR="0069028B" w:rsidRPr="0069028B" w:rsidRDefault="0069028B" w:rsidP="004C1B78"/>
    <w:p w14:paraId="585C4F73" w14:textId="1B84207D" w:rsidR="004C1B78" w:rsidRPr="006718F6" w:rsidRDefault="004C1B78" w:rsidP="004C1B78">
      <w:pPr>
        <w:rPr>
          <w:b/>
          <w:sz w:val="20"/>
        </w:rPr>
      </w:pPr>
      <w:r w:rsidRPr="004C1B78">
        <w:br w:type="page"/>
      </w:r>
      <w:r w:rsidR="00DC51D5">
        <w:rPr>
          <w:b/>
          <w:sz w:val="20"/>
        </w:rPr>
        <w:lastRenderedPageBreak/>
        <w:t>Table 6</w:t>
      </w:r>
      <w:r w:rsidRPr="006718F6">
        <w:rPr>
          <w:b/>
          <w:sz w:val="20"/>
        </w:rPr>
        <w:t xml:space="preserve">. Results of the </w:t>
      </w:r>
      <w:r w:rsidR="007A1E83">
        <w:rPr>
          <w:b/>
          <w:sz w:val="20"/>
        </w:rPr>
        <w:t xml:space="preserve">robust </w:t>
      </w:r>
      <w:r w:rsidRPr="006718F6">
        <w:rPr>
          <w:b/>
          <w:sz w:val="20"/>
        </w:rPr>
        <w:t xml:space="preserve">associations between general dietary variables and imaging and cognitive variables in the subsample with </w:t>
      </w:r>
      <w:r w:rsidR="00CA7151" w:rsidRPr="00CA7151">
        <w:rPr>
          <w:b/>
          <w:sz w:val="20"/>
        </w:rPr>
        <w:t>extreme/middle io</w:t>
      </w:r>
      <w:r w:rsidR="00CC3852">
        <w:rPr>
          <w:b/>
          <w:sz w:val="20"/>
        </w:rPr>
        <w:t>dine intake/avoidance</w:t>
      </w:r>
      <w:r w:rsidR="00897379">
        <w:rPr>
          <w:b/>
          <w:sz w:val="20"/>
        </w:rPr>
        <w:t>, before FDR correction</w:t>
      </w:r>
      <w:r w:rsidRPr="006718F6">
        <w:rPr>
          <w:b/>
          <w:sz w:val="20"/>
        </w:rPr>
        <w:t>. Given: standardised coefficient β (p-value)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424"/>
        <w:gridCol w:w="1217"/>
        <w:gridCol w:w="1302"/>
        <w:gridCol w:w="1238"/>
        <w:gridCol w:w="1197"/>
        <w:gridCol w:w="1195"/>
      </w:tblGrid>
      <w:tr w:rsidR="00BD5D3D" w:rsidRPr="004C1B78" w14:paraId="7F7BB45F" w14:textId="77777777" w:rsidTr="00BD5D3D">
        <w:tc>
          <w:tcPr>
            <w:tcW w:w="781" w:type="pct"/>
            <w:shd w:val="clear" w:color="auto" w:fill="auto"/>
          </w:tcPr>
          <w:p w14:paraId="6860E1F1" w14:textId="77777777" w:rsidR="00BD5D3D" w:rsidRPr="004C1B78" w:rsidRDefault="00BD5D3D" w:rsidP="004C1B78">
            <w:r w:rsidRPr="004C1B78">
              <w:t>Imaging variables (% volume in ICV)</w:t>
            </w:r>
          </w:p>
        </w:tc>
        <w:tc>
          <w:tcPr>
            <w:tcW w:w="797" w:type="pct"/>
            <w:shd w:val="clear" w:color="auto" w:fill="auto"/>
            <w:vAlign w:val="center"/>
          </w:tcPr>
          <w:p w14:paraId="67C8BB5B" w14:textId="77777777" w:rsidR="00BD5D3D" w:rsidRPr="004C1B78" w:rsidRDefault="00BD5D3D" w:rsidP="004C1B78">
            <w:r w:rsidRPr="004C1B78">
              <w:t>KJ</w:t>
            </w:r>
          </w:p>
        </w:tc>
        <w:tc>
          <w:tcPr>
            <w:tcW w:w="682" w:type="pct"/>
            <w:shd w:val="clear" w:color="auto" w:fill="auto"/>
            <w:vAlign w:val="center"/>
          </w:tcPr>
          <w:p w14:paraId="1AC885FA" w14:textId="77777777" w:rsidR="00BD5D3D" w:rsidRPr="004C1B78" w:rsidRDefault="00BD5D3D" w:rsidP="004C1B78">
            <w:r w:rsidRPr="004C1B78">
              <w:t>Fat</w:t>
            </w:r>
          </w:p>
        </w:tc>
        <w:tc>
          <w:tcPr>
            <w:tcW w:w="729" w:type="pct"/>
            <w:shd w:val="clear" w:color="auto" w:fill="auto"/>
            <w:vAlign w:val="center"/>
          </w:tcPr>
          <w:p w14:paraId="19C87B39" w14:textId="77777777" w:rsidR="00BD5D3D" w:rsidRPr="004C1B78" w:rsidRDefault="00BD5D3D" w:rsidP="004C1B78">
            <w:r w:rsidRPr="004C1B78">
              <w:t>Proteins</w:t>
            </w:r>
          </w:p>
        </w:tc>
        <w:tc>
          <w:tcPr>
            <w:tcW w:w="670" w:type="pct"/>
            <w:shd w:val="clear" w:color="auto" w:fill="auto"/>
            <w:vAlign w:val="center"/>
          </w:tcPr>
          <w:p w14:paraId="3B2C0469" w14:textId="77777777" w:rsidR="00BD5D3D" w:rsidRPr="004C1B78" w:rsidRDefault="00BD5D3D" w:rsidP="004C1B78">
            <w:r w:rsidRPr="004C1B78">
              <w:t>Cholesterol</w:t>
            </w:r>
          </w:p>
        </w:tc>
        <w:tc>
          <w:tcPr>
            <w:tcW w:w="671" w:type="pct"/>
            <w:shd w:val="clear" w:color="auto" w:fill="auto"/>
            <w:vAlign w:val="center"/>
          </w:tcPr>
          <w:p w14:paraId="22B20DA8" w14:textId="77777777" w:rsidR="00BD5D3D" w:rsidRPr="004C1B78" w:rsidRDefault="00BD5D3D" w:rsidP="00BD5D3D">
            <w:r w:rsidRPr="004C1B78">
              <w:t>Sat</w:t>
            </w:r>
            <w:r>
              <w:t>urated</w:t>
            </w:r>
            <w:r w:rsidRPr="004C1B78">
              <w:t xml:space="preserve"> fats</w:t>
            </w:r>
          </w:p>
        </w:tc>
        <w:tc>
          <w:tcPr>
            <w:tcW w:w="671" w:type="pct"/>
            <w:vAlign w:val="center"/>
          </w:tcPr>
          <w:p w14:paraId="23C2B3E2" w14:textId="77777777" w:rsidR="00BD5D3D" w:rsidRPr="004C1B78" w:rsidRDefault="00BD5D3D" w:rsidP="00BD5D3D">
            <w:r>
              <w:t>Sodium</w:t>
            </w:r>
          </w:p>
        </w:tc>
      </w:tr>
      <w:tr w:rsidR="00BD5D3D" w:rsidRPr="004C1B78" w14:paraId="24AC60A7" w14:textId="77777777" w:rsidTr="00BD5D3D">
        <w:tc>
          <w:tcPr>
            <w:tcW w:w="781" w:type="pct"/>
            <w:shd w:val="clear" w:color="auto" w:fill="auto"/>
          </w:tcPr>
          <w:p w14:paraId="47C3A775" w14:textId="77777777" w:rsidR="00BD5D3D" w:rsidRPr="004C1B78" w:rsidRDefault="00BD5D3D" w:rsidP="004C1B78">
            <w:r w:rsidRPr="004C1B78">
              <w:t>Cerebellum WM_R</w:t>
            </w:r>
          </w:p>
        </w:tc>
        <w:tc>
          <w:tcPr>
            <w:tcW w:w="797" w:type="pct"/>
            <w:shd w:val="clear" w:color="auto" w:fill="auto"/>
            <w:vAlign w:val="center"/>
          </w:tcPr>
          <w:p w14:paraId="37FC1297" w14:textId="77777777" w:rsidR="00BD5D3D" w:rsidRPr="004C1B78" w:rsidRDefault="00BD5D3D" w:rsidP="004C1B78">
            <w:r w:rsidRPr="004C1B78">
              <w:t>0.70 (0.45)</w:t>
            </w:r>
          </w:p>
        </w:tc>
        <w:tc>
          <w:tcPr>
            <w:tcW w:w="682" w:type="pct"/>
            <w:shd w:val="clear" w:color="auto" w:fill="auto"/>
            <w:vAlign w:val="center"/>
          </w:tcPr>
          <w:p w14:paraId="5C61F196" w14:textId="77777777" w:rsidR="00BD5D3D" w:rsidRPr="004C1B78" w:rsidRDefault="00BD5D3D" w:rsidP="004C1B78">
            <w:r w:rsidRPr="004C1B78">
              <w:t>0.04 (0.70)</w:t>
            </w:r>
          </w:p>
        </w:tc>
        <w:tc>
          <w:tcPr>
            <w:tcW w:w="729" w:type="pct"/>
            <w:shd w:val="clear" w:color="auto" w:fill="auto"/>
            <w:vAlign w:val="center"/>
          </w:tcPr>
          <w:p w14:paraId="347DF351" w14:textId="77777777" w:rsidR="00BD5D3D" w:rsidRPr="004C1B78" w:rsidRDefault="00BD5D3D" w:rsidP="004C1B78">
            <w:r w:rsidRPr="004C1B78">
              <w:t>0.06 (0.49)</w:t>
            </w:r>
          </w:p>
        </w:tc>
        <w:tc>
          <w:tcPr>
            <w:tcW w:w="670" w:type="pct"/>
            <w:shd w:val="clear" w:color="auto" w:fill="auto"/>
            <w:vAlign w:val="center"/>
          </w:tcPr>
          <w:p w14:paraId="5EEC2C83" w14:textId="77777777" w:rsidR="00BD5D3D" w:rsidRPr="004C1B78" w:rsidRDefault="00BD5D3D" w:rsidP="004C1B78">
            <w:r w:rsidRPr="004C1B78">
              <w:t>0.09 (0.31)</w:t>
            </w:r>
          </w:p>
        </w:tc>
        <w:tc>
          <w:tcPr>
            <w:tcW w:w="671" w:type="pct"/>
            <w:shd w:val="clear" w:color="auto" w:fill="auto"/>
            <w:vAlign w:val="center"/>
          </w:tcPr>
          <w:p w14:paraId="25747F60" w14:textId="77777777" w:rsidR="00BD5D3D" w:rsidRPr="004C1B78" w:rsidRDefault="00BD5D3D" w:rsidP="004C1B78">
            <w:r w:rsidRPr="004C1B78">
              <w:t>0.04 (0.66)</w:t>
            </w:r>
          </w:p>
        </w:tc>
        <w:tc>
          <w:tcPr>
            <w:tcW w:w="671" w:type="pct"/>
            <w:vAlign w:val="center"/>
          </w:tcPr>
          <w:p w14:paraId="01473AEE" w14:textId="77777777" w:rsidR="00BD5D3D" w:rsidRPr="004C1B78" w:rsidRDefault="00C029CF" w:rsidP="004C1B78">
            <w:r>
              <w:t>0.03 (0.75)</w:t>
            </w:r>
          </w:p>
        </w:tc>
      </w:tr>
      <w:tr w:rsidR="00BD5D3D" w:rsidRPr="004C1B78" w14:paraId="56F9633E" w14:textId="77777777" w:rsidTr="00BD5D3D">
        <w:tc>
          <w:tcPr>
            <w:tcW w:w="781" w:type="pct"/>
            <w:shd w:val="clear" w:color="auto" w:fill="auto"/>
          </w:tcPr>
          <w:p w14:paraId="0404B63F" w14:textId="77777777" w:rsidR="00BD5D3D" w:rsidRPr="004C1B78" w:rsidRDefault="00BD5D3D" w:rsidP="004C1B78">
            <w:r w:rsidRPr="004C1B78">
              <w:t xml:space="preserve">Cerebellum </w:t>
            </w:r>
            <w:proofErr w:type="spellStart"/>
            <w:r w:rsidRPr="004C1B78">
              <w:t>Cortex_R</w:t>
            </w:r>
            <w:proofErr w:type="spellEnd"/>
          </w:p>
        </w:tc>
        <w:tc>
          <w:tcPr>
            <w:tcW w:w="797" w:type="pct"/>
            <w:shd w:val="clear" w:color="auto" w:fill="auto"/>
            <w:vAlign w:val="center"/>
          </w:tcPr>
          <w:p w14:paraId="43D04A1E" w14:textId="77777777" w:rsidR="00BD5D3D" w:rsidRPr="004C1B78" w:rsidRDefault="00BD5D3D" w:rsidP="004C1B78">
            <w:r w:rsidRPr="004C1B78">
              <w:t>0.15 (0.10)</w:t>
            </w:r>
          </w:p>
        </w:tc>
        <w:tc>
          <w:tcPr>
            <w:tcW w:w="682" w:type="pct"/>
            <w:shd w:val="clear" w:color="auto" w:fill="auto"/>
            <w:vAlign w:val="center"/>
          </w:tcPr>
          <w:p w14:paraId="28B83E13" w14:textId="77777777" w:rsidR="00BD5D3D" w:rsidRPr="004C1B78" w:rsidRDefault="00BD5D3D" w:rsidP="004C1B78">
            <w:r w:rsidRPr="004C1B78">
              <w:t>0.16 (0.08)</w:t>
            </w:r>
          </w:p>
        </w:tc>
        <w:tc>
          <w:tcPr>
            <w:tcW w:w="729" w:type="pct"/>
            <w:shd w:val="clear" w:color="auto" w:fill="auto"/>
            <w:vAlign w:val="center"/>
          </w:tcPr>
          <w:p w14:paraId="3F32208A" w14:textId="77777777" w:rsidR="00BD5D3D" w:rsidRPr="004C1B78" w:rsidRDefault="00BD5D3D" w:rsidP="004C1B78">
            <w:r w:rsidRPr="004C1B78">
              <w:t>0.09 (0.34)</w:t>
            </w:r>
          </w:p>
        </w:tc>
        <w:tc>
          <w:tcPr>
            <w:tcW w:w="670" w:type="pct"/>
            <w:shd w:val="clear" w:color="auto" w:fill="auto"/>
            <w:vAlign w:val="center"/>
          </w:tcPr>
          <w:p w14:paraId="01172C79" w14:textId="77777777" w:rsidR="00BD5D3D" w:rsidRPr="004C1B78" w:rsidRDefault="00BD5D3D" w:rsidP="004C1B78">
            <w:r w:rsidRPr="004C1B78">
              <w:t>0.14 (0.14)</w:t>
            </w:r>
          </w:p>
        </w:tc>
        <w:tc>
          <w:tcPr>
            <w:tcW w:w="671" w:type="pct"/>
            <w:shd w:val="clear" w:color="auto" w:fill="auto"/>
            <w:vAlign w:val="center"/>
          </w:tcPr>
          <w:p w14:paraId="7111C55E" w14:textId="77777777" w:rsidR="00BD5D3D" w:rsidRPr="004C1B78" w:rsidRDefault="00BD5D3D" w:rsidP="004C1B78">
            <w:r w:rsidRPr="004C1B78">
              <w:t>0.17 (0.07)</w:t>
            </w:r>
          </w:p>
        </w:tc>
        <w:tc>
          <w:tcPr>
            <w:tcW w:w="671" w:type="pct"/>
            <w:vAlign w:val="center"/>
          </w:tcPr>
          <w:p w14:paraId="51CD95D1" w14:textId="77777777" w:rsidR="00BD5D3D" w:rsidRPr="004C1B78" w:rsidRDefault="00C029CF" w:rsidP="004C1B78">
            <w:r>
              <w:t>0.14 (0.14)</w:t>
            </w:r>
          </w:p>
        </w:tc>
      </w:tr>
      <w:tr w:rsidR="00BD5D3D" w:rsidRPr="004C1B78" w14:paraId="671EE549" w14:textId="77777777" w:rsidTr="00BD5D3D">
        <w:tc>
          <w:tcPr>
            <w:tcW w:w="781" w:type="pct"/>
            <w:shd w:val="clear" w:color="auto" w:fill="auto"/>
          </w:tcPr>
          <w:p w14:paraId="38612614" w14:textId="77777777" w:rsidR="00BD5D3D" w:rsidRPr="004C1B78" w:rsidRDefault="00BD5D3D" w:rsidP="004C1B78">
            <w:r w:rsidRPr="004C1B78">
              <w:t>Cerebellum WM_L</w:t>
            </w:r>
          </w:p>
        </w:tc>
        <w:tc>
          <w:tcPr>
            <w:tcW w:w="797" w:type="pct"/>
            <w:shd w:val="clear" w:color="auto" w:fill="auto"/>
            <w:vAlign w:val="center"/>
          </w:tcPr>
          <w:p w14:paraId="01FE9DF8" w14:textId="77777777" w:rsidR="00BD5D3D" w:rsidRPr="004C1B78" w:rsidRDefault="00BD5D3D" w:rsidP="004C1B78">
            <w:r w:rsidRPr="004C1B78">
              <w:t>0.09 (0.32)</w:t>
            </w:r>
          </w:p>
        </w:tc>
        <w:tc>
          <w:tcPr>
            <w:tcW w:w="682" w:type="pct"/>
            <w:shd w:val="clear" w:color="auto" w:fill="auto"/>
            <w:vAlign w:val="center"/>
          </w:tcPr>
          <w:p w14:paraId="1FFED843" w14:textId="77777777" w:rsidR="00BD5D3D" w:rsidRPr="004C1B78" w:rsidRDefault="00BD5D3D" w:rsidP="004C1B78">
            <w:r w:rsidRPr="004C1B78">
              <w:t>0.06 (0.54)</w:t>
            </w:r>
          </w:p>
        </w:tc>
        <w:tc>
          <w:tcPr>
            <w:tcW w:w="729" w:type="pct"/>
            <w:shd w:val="clear" w:color="auto" w:fill="auto"/>
            <w:vAlign w:val="center"/>
          </w:tcPr>
          <w:p w14:paraId="0EBB396B" w14:textId="77777777" w:rsidR="00BD5D3D" w:rsidRPr="004C1B78" w:rsidRDefault="00BD5D3D" w:rsidP="004C1B78">
            <w:r w:rsidRPr="004C1B78">
              <w:t>0.07 (0.42)</w:t>
            </w:r>
          </w:p>
        </w:tc>
        <w:tc>
          <w:tcPr>
            <w:tcW w:w="670" w:type="pct"/>
            <w:shd w:val="clear" w:color="auto" w:fill="auto"/>
            <w:vAlign w:val="center"/>
          </w:tcPr>
          <w:p w14:paraId="3F967565" w14:textId="77777777" w:rsidR="00BD5D3D" w:rsidRPr="004C1B78" w:rsidRDefault="00BD5D3D" w:rsidP="004C1B78">
            <w:r w:rsidRPr="004C1B78">
              <w:t>0.12 (0.19)</w:t>
            </w:r>
          </w:p>
        </w:tc>
        <w:tc>
          <w:tcPr>
            <w:tcW w:w="671" w:type="pct"/>
            <w:shd w:val="clear" w:color="auto" w:fill="auto"/>
            <w:vAlign w:val="center"/>
          </w:tcPr>
          <w:p w14:paraId="0A226E06" w14:textId="77777777" w:rsidR="00BD5D3D" w:rsidRPr="004C1B78" w:rsidRDefault="00BD5D3D" w:rsidP="004C1B78">
            <w:r w:rsidRPr="004C1B78">
              <w:t>0.07 (0.48)</w:t>
            </w:r>
          </w:p>
        </w:tc>
        <w:tc>
          <w:tcPr>
            <w:tcW w:w="671" w:type="pct"/>
            <w:vAlign w:val="center"/>
          </w:tcPr>
          <w:p w14:paraId="65E396D9" w14:textId="77777777" w:rsidR="00BD5D3D" w:rsidRPr="004C1B78" w:rsidRDefault="00C029CF" w:rsidP="004C1B78">
            <w:r>
              <w:t>0.05 (0.63)</w:t>
            </w:r>
          </w:p>
        </w:tc>
      </w:tr>
      <w:tr w:rsidR="00BD5D3D" w:rsidRPr="004C1B78" w14:paraId="502BE759" w14:textId="77777777" w:rsidTr="00BD5D3D">
        <w:tc>
          <w:tcPr>
            <w:tcW w:w="781" w:type="pct"/>
            <w:shd w:val="clear" w:color="auto" w:fill="auto"/>
          </w:tcPr>
          <w:p w14:paraId="274F1549" w14:textId="77777777" w:rsidR="00BD5D3D" w:rsidRPr="004C1B78" w:rsidRDefault="00BD5D3D" w:rsidP="004C1B78">
            <w:r w:rsidRPr="004C1B78">
              <w:t xml:space="preserve">Cerebellum </w:t>
            </w:r>
            <w:proofErr w:type="spellStart"/>
            <w:r w:rsidRPr="004C1B78">
              <w:t>Cortex_L</w:t>
            </w:r>
            <w:proofErr w:type="spellEnd"/>
          </w:p>
        </w:tc>
        <w:tc>
          <w:tcPr>
            <w:tcW w:w="797" w:type="pct"/>
            <w:shd w:val="clear" w:color="auto" w:fill="auto"/>
            <w:vAlign w:val="center"/>
          </w:tcPr>
          <w:p w14:paraId="1FF05D59" w14:textId="77777777" w:rsidR="00BD5D3D" w:rsidRPr="004C1B78" w:rsidRDefault="00BD5D3D" w:rsidP="004C1B78">
            <w:r w:rsidRPr="004C1B78">
              <w:t>0.13 (0.15)</w:t>
            </w:r>
          </w:p>
        </w:tc>
        <w:tc>
          <w:tcPr>
            <w:tcW w:w="682" w:type="pct"/>
            <w:shd w:val="clear" w:color="auto" w:fill="auto"/>
            <w:vAlign w:val="center"/>
          </w:tcPr>
          <w:p w14:paraId="6339F247" w14:textId="77777777" w:rsidR="00BD5D3D" w:rsidRPr="004C1B78" w:rsidRDefault="00BD5D3D" w:rsidP="004C1B78">
            <w:r w:rsidRPr="004C1B78">
              <w:t>0.16 (0.09)</w:t>
            </w:r>
          </w:p>
        </w:tc>
        <w:tc>
          <w:tcPr>
            <w:tcW w:w="729" w:type="pct"/>
            <w:shd w:val="clear" w:color="auto" w:fill="auto"/>
            <w:vAlign w:val="center"/>
          </w:tcPr>
          <w:p w14:paraId="41106A8E" w14:textId="77777777" w:rsidR="00BD5D3D" w:rsidRPr="004C1B78" w:rsidRDefault="00BD5D3D" w:rsidP="004C1B78">
            <w:r w:rsidRPr="004C1B78">
              <w:t>0.08 (0.37)</w:t>
            </w:r>
          </w:p>
        </w:tc>
        <w:tc>
          <w:tcPr>
            <w:tcW w:w="670" w:type="pct"/>
            <w:shd w:val="clear" w:color="auto" w:fill="auto"/>
            <w:vAlign w:val="center"/>
          </w:tcPr>
          <w:p w14:paraId="2DD49E7B" w14:textId="77777777" w:rsidR="00BD5D3D" w:rsidRPr="004C1B78" w:rsidRDefault="00BD5D3D" w:rsidP="004C1B78">
            <w:r w:rsidRPr="004C1B78">
              <w:t>0.11 (0.22)</w:t>
            </w:r>
          </w:p>
        </w:tc>
        <w:tc>
          <w:tcPr>
            <w:tcW w:w="671" w:type="pct"/>
            <w:shd w:val="clear" w:color="auto" w:fill="auto"/>
            <w:vAlign w:val="center"/>
          </w:tcPr>
          <w:p w14:paraId="50D0A6CE" w14:textId="77777777" w:rsidR="00BD5D3D" w:rsidRPr="004C1B78" w:rsidRDefault="00BD5D3D" w:rsidP="004C1B78">
            <w:r w:rsidRPr="004C1B78">
              <w:t>0.17 (0.07)</w:t>
            </w:r>
          </w:p>
        </w:tc>
        <w:tc>
          <w:tcPr>
            <w:tcW w:w="671" w:type="pct"/>
            <w:vAlign w:val="center"/>
          </w:tcPr>
          <w:p w14:paraId="6F9C09AB" w14:textId="77777777" w:rsidR="00BD5D3D" w:rsidRPr="004C1B78" w:rsidRDefault="00C029CF" w:rsidP="004C1B78">
            <w:r>
              <w:t>0.10 (0.27)</w:t>
            </w:r>
          </w:p>
        </w:tc>
      </w:tr>
      <w:tr w:rsidR="00BD5D3D" w:rsidRPr="004C1B78" w14:paraId="51F05BD4" w14:textId="77777777" w:rsidTr="00BD5D3D">
        <w:tc>
          <w:tcPr>
            <w:tcW w:w="781" w:type="pct"/>
            <w:shd w:val="clear" w:color="auto" w:fill="auto"/>
          </w:tcPr>
          <w:p w14:paraId="3F570F7C" w14:textId="77777777" w:rsidR="00BD5D3D" w:rsidRPr="004C1B78" w:rsidRDefault="00BD5D3D" w:rsidP="004C1B78">
            <w:r w:rsidRPr="004C1B78">
              <w:t xml:space="preserve">Lateral </w:t>
            </w:r>
            <w:proofErr w:type="spellStart"/>
            <w:r w:rsidRPr="004C1B78">
              <w:t>Ventricle_R</w:t>
            </w:r>
            <w:proofErr w:type="spellEnd"/>
          </w:p>
        </w:tc>
        <w:tc>
          <w:tcPr>
            <w:tcW w:w="797" w:type="pct"/>
            <w:shd w:val="clear" w:color="auto" w:fill="auto"/>
            <w:vAlign w:val="center"/>
          </w:tcPr>
          <w:p w14:paraId="09F9CCD6" w14:textId="77777777" w:rsidR="00BD5D3D" w:rsidRPr="004C1B78" w:rsidRDefault="00BD5D3D" w:rsidP="004C1B78">
            <w:pPr>
              <w:rPr>
                <w:b/>
              </w:rPr>
            </w:pPr>
            <w:r w:rsidRPr="004C1B78">
              <w:rPr>
                <w:b/>
              </w:rPr>
              <w:t>0.32 (&lt;0.001)**</w:t>
            </w:r>
          </w:p>
        </w:tc>
        <w:tc>
          <w:tcPr>
            <w:tcW w:w="682" w:type="pct"/>
            <w:shd w:val="clear" w:color="auto" w:fill="auto"/>
            <w:vAlign w:val="center"/>
          </w:tcPr>
          <w:p w14:paraId="4F33D77A" w14:textId="77777777" w:rsidR="00BD5D3D" w:rsidRPr="004C1B78" w:rsidRDefault="00BD5D3D" w:rsidP="004C1B78">
            <w:pPr>
              <w:rPr>
                <w:b/>
              </w:rPr>
            </w:pPr>
            <w:r w:rsidRPr="004C1B78">
              <w:rPr>
                <w:b/>
              </w:rPr>
              <w:t>0.31 (0.001)**</w:t>
            </w:r>
          </w:p>
        </w:tc>
        <w:tc>
          <w:tcPr>
            <w:tcW w:w="729" w:type="pct"/>
            <w:shd w:val="clear" w:color="auto" w:fill="auto"/>
            <w:vAlign w:val="center"/>
          </w:tcPr>
          <w:p w14:paraId="12DE43D5" w14:textId="77777777" w:rsidR="00BD5D3D" w:rsidRPr="004C1B78" w:rsidRDefault="00BD5D3D" w:rsidP="004C1B78">
            <w:pPr>
              <w:rPr>
                <w:b/>
              </w:rPr>
            </w:pPr>
            <w:r w:rsidRPr="004C1B78">
              <w:rPr>
                <w:b/>
              </w:rPr>
              <w:t>0.31 (0.001)**</w:t>
            </w:r>
          </w:p>
        </w:tc>
        <w:tc>
          <w:tcPr>
            <w:tcW w:w="670" w:type="pct"/>
            <w:shd w:val="clear" w:color="auto" w:fill="auto"/>
            <w:vAlign w:val="center"/>
          </w:tcPr>
          <w:p w14:paraId="73DCF40E" w14:textId="77777777" w:rsidR="00BD5D3D" w:rsidRPr="004C1B78" w:rsidRDefault="00BD5D3D" w:rsidP="004C1B78">
            <w:pPr>
              <w:rPr>
                <w:b/>
              </w:rPr>
            </w:pPr>
            <w:r w:rsidRPr="004C1B78">
              <w:rPr>
                <w:b/>
              </w:rPr>
              <w:t>0.26 (0.005)*</w:t>
            </w:r>
          </w:p>
        </w:tc>
        <w:tc>
          <w:tcPr>
            <w:tcW w:w="671" w:type="pct"/>
            <w:shd w:val="clear" w:color="auto" w:fill="auto"/>
            <w:vAlign w:val="center"/>
          </w:tcPr>
          <w:p w14:paraId="7E8BA755" w14:textId="77777777" w:rsidR="00BD5D3D" w:rsidRPr="004C1B78" w:rsidRDefault="00BD5D3D" w:rsidP="004C1B78">
            <w:pPr>
              <w:rPr>
                <w:b/>
              </w:rPr>
            </w:pPr>
            <w:r w:rsidRPr="004C1B78">
              <w:rPr>
                <w:b/>
              </w:rPr>
              <w:t>0.28 (0.002)*</w:t>
            </w:r>
          </w:p>
        </w:tc>
        <w:tc>
          <w:tcPr>
            <w:tcW w:w="671" w:type="pct"/>
            <w:vAlign w:val="center"/>
          </w:tcPr>
          <w:p w14:paraId="4E9F5799" w14:textId="77777777" w:rsidR="00BD5D3D" w:rsidRPr="004C1B78" w:rsidRDefault="00C029CF" w:rsidP="004C1B78">
            <w:pPr>
              <w:rPr>
                <w:b/>
              </w:rPr>
            </w:pPr>
            <w:r>
              <w:rPr>
                <w:b/>
              </w:rPr>
              <w:t>0.27 (0.003)*</w:t>
            </w:r>
          </w:p>
        </w:tc>
      </w:tr>
      <w:tr w:rsidR="00BD5D3D" w:rsidRPr="004C1B78" w14:paraId="34E0CC23" w14:textId="77777777" w:rsidTr="00BD5D3D">
        <w:tc>
          <w:tcPr>
            <w:tcW w:w="781" w:type="pct"/>
            <w:shd w:val="clear" w:color="auto" w:fill="auto"/>
          </w:tcPr>
          <w:p w14:paraId="0CFFA64A" w14:textId="77777777" w:rsidR="00BD5D3D" w:rsidRPr="004C1B78" w:rsidRDefault="00BD5D3D" w:rsidP="004C1B78">
            <w:r w:rsidRPr="004C1B78">
              <w:t xml:space="preserve">Lateral </w:t>
            </w:r>
            <w:proofErr w:type="spellStart"/>
            <w:r w:rsidRPr="004C1B78">
              <w:t>Ventricle_L</w:t>
            </w:r>
            <w:proofErr w:type="spellEnd"/>
          </w:p>
        </w:tc>
        <w:tc>
          <w:tcPr>
            <w:tcW w:w="797" w:type="pct"/>
            <w:shd w:val="clear" w:color="auto" w:fill="auto"/>
            <w:vAlign w:val="center"/>
          </w:tcPr>
          <w:p w14:paraId="469B294B" w14:textId="77777777" w:rsidR="00BD5D3D" w:rsidRPr="004C1B78" w:rsidRDefault="00BD5D3D" w:rsidP="004C1B78">
            <w:pPr>
              <w:rPr>
                <w:b/>
              </w:rPr>
            </w:pPr>
            <w:r w:rsidRPr="004C1B78">
              <w:rPr>
                <w:b/>
              </w:rPr>
              <w:t>0.34 (&lt;0.001)**</w:t>
            </w:r>
          </w:p>
        </w:tc>
        <w:tc>
          <w:tcPr>
            <w:tcW w:w="682" w:type="pct"/>
            <w:shd w:val="clear" w:color="auto" w:fill="auto"/>
            <w:vAlign w:val="center"/>
          </w:tcPr>
          <w:p w14:paraId="498BF5DE" w14:textId="77777777" w:rsidR="00BD5D3D" w:rsidRPr="004C1B78" w:rsidRDefault="00BD5D3D" w:rsidP="004C1B78">
            <w:pPr>
              <w:rPr>
                <w:b/>
              </w:rPr>
            </w:pPr>
            <w:r w:rsidRPr="004C1B78">
              <w:rPr>
                <w:b/>
              </w:rPr>
              <w:t>0.32 (0.001)**</w:t>
            </w:r>
          </w:p>
        </w:tc>
        <w:tc>
          <w:tcPr>
            <w:tcW w:w="729" w:type="pct"/>
            <w:shd w:val="clear" w:color="auto" w:fill="auto"/>
            <w:vAlign w:val="center"/>
          </w:tcPr>
          <w:p w14:paraId="19641467" w14:textId="77777777" w:rsidR="00BD5D3D" w:rsidRPr="004C1B78" w:rsidRDefault="00BD5D3D" w:rsidP="004C1B78">
            <w:pPr>
              <w:rPr>
                <w:b/>
              </w:rPr>
            </w:pPr>
            <w:r w:rsidRPr="004C1B78">
              <w:rPr>
                <w:b/>
              </w:rPr>
              <w:t>0.35 (&lt;0.001)**</w:t>
            </w:r>
          </w:p>
        </w:tc>
        <w:tc>
          <w:tcPr>
            <w:tcW w:w="670" w:type="pct"/>
            <w:shd w:val="clear" w:color="auto" w:fill="auto"/>
            <w:vAlign w:val="center"/>
          </w:tcPr>
          <w:p w14:paraId="2F6F6339" w14:textId="77777777" w:rsidR="00BD5D3D" w:rsidRPr="004C1B78" w:rsidRDefault="00BD5D3D" w:rsidP="004C1B78">
            <w:pPr>
              <w:rPr>
                <w:b/>
              </w:rPr>
            </w:pPr>
            <w:r w:rsidRPr="004C1B78">
              <w:rPr>
                <w:b/>
              </w:rPr>
              <w:t>0.29 (0.002)*</w:t>
            </w:r>
          </w:p>
        </w:tc>
        <w:tc>
          <w:tcPr>
            <w:tcW w:w="671" w:type="pct"/>
            <w:shd w:val="clear" w:color="auto" w:fill="auto"/>
            <w:vAlign w:val="center"/>
          </w:tcPr>
          <w:p w14:paraId="5F3E5733" w14:textId="77777777" w:rsidR="00BD5D3D" w:rsidRPr="004C1B78" w:rsidRDefault="00BD5D3D" w:rsidP="004C1B78">
            <w:pPr>
              <w:rPr>
                <w:b/>
              </w:rPr>
            </w:pPr>
            <w:r w:rsidRPr="004C1B78">
              <w:rPr>
                <w:b/>
              </w:rPr>
              <w:t>0.24 (0.009)*</w:t>
            </w:r>
          </w:p>
        </w:tc>
        <w:tc>
          <w:tcPr>
            <w:tcW w:w="671" w:type="pct"/>
            <w:vAlign w:val="center"/>
          </w:tcPr>
          <w:p w14:paraId="75A42307" w14:textId="77777777" w:rsidR="00BD5D3D" w:rsidRPr="004C1B78" w:rsidRDefault="00C029CF" w:rsidP="004C1B78">
            <w:pPr>
              <w:rPr>
                <w:b/>
              </w:rPr>
            </w:pPr>
            <w:r>
              <w:rPr>
                <w:b/>
              </w:rPr>
              <w:t>0.26 (0.004)*</w:t>
            </w:r>
          </w:p>
        </w:tc>
      </w:tr>
      <w:tr w:rsidR="00BD5D3D" w:rsidRPr="004C1B78" w14:paraId="76AA3DE6" w14:textId="77777777" w:rsidTr="00BD5D3D">
        <w:tc>
          <w:tcPr>
            <w:tcW w:w="781" w:type="pct"/>
            <w:shd w:val="clear" w:color="auto" w:fill="auto"/>
          </w:tcPr>
          <w:p w14:paraId="2F0439A6" w14:textId="77777777" w:rsidR="00BD5D3D" w:rsidRPr="004C1B78" w:rsidRDefault="00BD5D3D" w:rsidP="004C1B78">
            <w:r w:rsidRPr="004C1B78">
              <w:t>3</w:t>
            </w:r>
            <w:r w:rsidRPr="004C1B78">
              <w:rPr>
                <w:vertAlign w:val="superscript"/>
              </w:rPr>
              <w:t>rd</w:t>
            </w:r>
            <w:r w:rsidRPr="004C1B78">
              <w:t xml:space="preserve"> Ventricle</w:t>
            </w:r>
          </w:p>
        </w:tc>
        <w:tc>
          <w:tcPr>
            <w:tcW w:w="797" w:type="pct"/>
            <w:shd w:val="clear" w:color="auto" w:fill="auto"/>
            <w:vAlign w:val="center"/>
          </w:tcPr>
          <w:p w14:paraId="50247477" w14:textId="77777777" w:rsidR="00BD5D3D" w:rsidRPr="004C1B78" w:rsidRDefault="00BD5D3D" w:rsidP="004C1B78">
            <w:pPr>
              <w:rPr>
                <w:b/>
              </w:rPr>
            </w:pPr>
            <w:r w:rsidRPr="004C1B78">
              <w:rPr>
                <w:b/>
              </w:rPr>
              <w:t>0.26 (0.004)*</w:t>
            </w:r>
          </w:p>
        </w:tc>
        <w:tc>
          <w:tcPr>
            <w:tcW w:w="682" w:type="pct"/>
            <w:shd w:val="clear" w:color="auto" w:fill="auto"/>
            <w:vAlign w:val="center"/>
          </w:tcPr>
          <w:p w14:paraId="2194C6EF" w14:textId="77777777" w:rsidR="00BD5D3D" w:rsidRPr="004C1B78" w:rsidRDefault="00BD5D3D" w:rsidP="004C1B78">
            <w:pPr>
              <w:rPr>
                <w:b/>
              </w:rPr>
            </w:pPr>
            <w:r w:rsidRPr="004C1B78">
              <w:rPr>
                <w:b/>
              </w:rPr>
              <w:t>0.21 (0.02)*</w:t>
            </w:r>
          </w:p>
        </w:tc>
        <w:tc>
          <w:tcPr>
            <w:tcW w:w="729" w:type="pct"/>
            <w:shd w:val="clear" w:color="auto" w:fill="auto"/>
            <w:vAlign w:val="center"/>
          </w:tcPr>
          <w:p w14:paraId="63A08029" w14:textId="77777777" w:rsidR="00BD5D3D" w:rsidRPr="004C1B78" w:rsidRDefault="00BD5D3D" w:rsidP="004C1B78">
            <w:pPr>
              <w:rPr>
                <w:b/>
              </w:rPr>
            </w:pPr>
            <w:r w:rsidRPr="004C1B78">
              <w:rPr>
                <w:b/>
              </w:rPr>
              <w:t>0.24 (0.009)*</w:t>
            </w:r>
          </w:p>
        </w:tc>
        <w:tc>
          <w:tcPr>
            <w:tcW w:w="670" w:type="pct"/>
            <w:shd w:val="clear" w:color="auto" w:fill="auto"/>
            <w:vAlign w:val="center"/>
          </w:tcPr>
          <w:p w14:paraId="1F618DB9" w14:textId="77777777" w:rsidR="00BD5D3D" w:rsidRPr="004C1B78" w:rsidRDefault="00BD5D3D" w:rsidP="004C1B78">
            <w:pPr>
              <w:rPr>
                <w:b/>
              </w:rPr>
            </w:pPr>
            <w:r w:rsidRPr="004C1B78">
              <w:rPr>
                <w:b/>
              </w:rPr>
              <w:t>0.19 (0.04)*</w:t>
            </w:r>
          </w:p>
        </w:tc>
        <w:tc>
          <w:tcPr>
            <w:tcW w:w="671" w:type="pct"/>
            <w:shd w:val="clear" w:color="auto" w:fill="auto"/>
            <w:vAlign w:val="center"/>
          </w:tcPr>
          <w:p w14:paraId="7C86AA1A" w14:textId="77777777" w:rsidR="00BD5D3D" w:rsidRPr="004C1B78" w:rsidRDefault="00BD5D3D" w:rsidP="004C1B78">
            <w:r w:rsidRPr="004C1B78">
              <w:t>0.16 (0.09)</w:t>
            </w:r>
          </w:p>
        </w:tc>
        <w:tc>
          <w:tcPr>
            <w:tcW w:w="671" w:type="pct"/>
            <w:vAlign w:val="center"/>
          </w:tcPr>
          <w:p w14:paraId="5538949D" w14:textId="77777777" w:rsidR="00BD5D3D" w:rsidRPr="00C029CF" w:rsidRDefault="00C029CF" w:rsidP="004C1B78">
            <w:pPr>
              <w:rPr>
                <w:b/>
              </w:rPr>
            </w:pPr>
            <w:r w:rsidRPr="00C029CF">
              <w:rPr>
                <w:b/>
              </w:rPr>
              <w:t>0.23 (0.01)*</w:t>
            </w:r>
          </w:p>
        </w:tc>
      </w:tr>
      <w:tr w:rsidR="00BD5D3D" w:rsidRPr="004C1B78" w14:paraId="21A308AF" w14:textId="77777777" w:rsidTr="00BD5D3D">
        <w:tc>
          <w:tcPr>
            <w:tcW w:w="781" w:type="pct"/>
            <w:shd w:val="clear" w:color="auto" w:fill="auto"/>
          </w:tcPr>
          <w:p w14:paraId="7C158BD9" w14:textId="77777777" w:rsidR="00BD5D3D" w:rsidRPr="004C1B78" w:rsidRDefault="00BD5D3D" w:rsidP="004C1B78">
            <w:r w:rsidRPr="004C1B78">
              <w:t>4</w:t>
            </w:r>
            <w:r w:rsidRPr="004C1B78">
              <w:rPr>
                <w:vertAlign w:val="superscript"/>
              </w:rPr>
              <w:t>th</w:t>
            </w:r>
            <w:r w:rsidRPr="004C1B78">
              <w:t xml:space="preserve"> Ventricle</w:t>
            </w:r>
          </w:p>
        </w:tc>
        <w:tc>
          <w:tcPr>
            <w:tcW w:w="797" w:type="pct"/>
            <w:shd w:val="clear" w:color="auto" w:fill="auto"/>
            <w:vAlign w:val="center"/>
          </w:tcPr>
          <w:p w14:paraId="61A3083B" w14:textId="77777777" w:rsidR="00BD5D3D" w:rsidRPr="004C1B78" w:rsidRDefault="00BD5D3D" w:rsidP="004C1B78">
            <w:r w:rsidRPr="004C1B78">
              <w:t>0.11 (0.23)</w:t>
            </w:r>
          </w:p>
        </w:tc>
        <w:tc>
          <w:tcPr>
            <w:tcW w:w="682" w:type="pct"/>
            <w:shd w:val="clear" w:color="auto" w:fill="auto"/>
            <w:vAlign w:val="center"/>
          </w:tcPr>
          <w:p w14:paraId="467F97C6" w14:textId="77777777" w:rsidR="00BD5D3D" w:rsidRPr="004C1B78" w:rsidRDefault="00BD5D3D" w:rsidP="004C1B78">
            <w:r w:rsidRPr="004C1B78">
              <w:t>0.02 (0.79)</w:t>
            </w:r>
          </w:p>
        </w:tc>
        <w:tc>
          <w:tcPr>
            <w:tcW w:w="729" w:type="pct"/>
            <w:shd w:val="clear" w:color="auto" w:fill="auto"/>
            <w:vAlign w:val="center"/>
          </w:tcPr>
          <w:p w14:paraId="27EE66B1" w14:textId="77777777" w:rsidR="00BD5D3D" w:rsidRPr="004C1B78" w:rsidRDefault="00BD5D3D" w:rsidP="004C1B78">
            <w:r w:rsidRPr="004C1B78">
              <w:t>0.10 (0.29)</w:t>
            </w:r>
          </w:p>
        </w:tc>
        <w:tc>
          <w:tcPr>
            <w:tcW w:w="670" w:type="pct"/>
            <w:shd w:val="clear" w:color="auto" w:fill="auto"/>
            <w:vAlign w:val="center"/>
          </w:tcPr>
          <w:p w14:paraId="7FE64D05" w14:textId="77777777" w:rsidR="00BD5D3D" w:rsidRPr="004C1B78" w:rsidRDefault="00BD5D3D" w:rsidP="004C1B78">
            <w:r w:rsidRPr="004C1B78">
              <w:t>0.14 (0.12)</w:t>
            </w:r>
          </w:p>
        </w:tc>
        <w:tc>
          <w:tcPr>
            <w:tcW w:w="671" w:type="pct"/>
            <w:shd w:val="clear" w:color="auto" w:fill="auto"/>
            <w:vAlign w:val="center"/>
          </w:tcPr>
          <w:p w14:paraId="4125A5EA" w14:textId="77777777" w:rsidR="00BD5D3D" w:rsidRPr="004C1B78" w:rsidRDefault="00BD5D3D" w:rsidP="004C1B78">
            <w:r w:rsidRPr="004C1B78">
              <w:t>0.04 (0.64)</w:t>
            </w:r>
          </w:p>
        </w:tc>
        <w:tc>
          <w:tcPr>
            <w:tcW w:w="671" w:type="pct"/>
            <w:vAlign w:val="center"/>
          </w:tcPr>
          <w:p w14:paraId="5C5AC777" w14:textId="77777777" w:rsidR="00BD5D3D" w:rsidRPr="004C1B78" w:rsidRDefault="00C029CF" w:rsidP="004C1B78">
            <w:r>
              <w:t>0.02 (0.80)</w:t>
            </w:r>
          </w:p>
        </w:tc>
      </w:tr>
      <w:tr w:rsidR="00BD5D3D" w:rsidRPr="004C1B78" w14:paraId="4C2F1BB1" w14:textId="77777777" w:rsidTr="00BD5D3D">
        <w:tc>
          <w:tcPr>
            <w:tcW w:w="781" w:type="pct"/>
            <w:shd w:val="clear" w:color="auto" w:fill="auto"/>
          </w:tcPr>
          <w:p w14:paraId="0690DCFF" w14:textId="77777777" w:rsidR="00BD5D3D" w:rsidRPr="004C1B78" w:rsidRDefault="00BD5D3D" w:rsidP="004C1B78">
            <w:r w:rsidRPr="004C1B78">
              <w:t>Subarachnoid space</w:t>
            </w:r>
          </w:p>
        </w:tc>
        <w:tc>
          <w:tcPr>
            <w:tcW w:w="797" w:type="pct"/>
            <w:shd w:val="clear" w:color="auto" w:fill="auto"/>
            <w:vAlign w:val="center"/>
          </w:tcPr>
          <w:p w14:paraId="7E7AD7AF" w14:textId="77777777" w:rsidR="00BD5D3D" w:rsidRPr="004C1B78" w:rsidRDefault="00BD5D3D" w:rsidP="004C1B78">
            <w:r w:rsidRPr="004C1B78">
              <w:t>-0.14 (0.14)</w:t>
            </w:r>
          </w:p>
        </w:tc>
        <w:tc>
          <w:tcPr>
            <w:tcW w:w="682" w:type="pct"/>
            <w:shd w:val="clear" w:color="auto" w:fill="auto"/>
            <w:vAlign w:val="center"/>
          </w:tcPr>
          <w:p w14:paraId="49B1457E" w14:textId="77777777" w:rsidR="00BD5D3D" w:rsidRPr="004C1B78" w:rsidRDefault="00BD5D3D" w:rsidP="004C1B78">
            <w:r w:rsidRPr="004C1B78">
              <w:t>-0.14 (0.13)</w:t>
            </w:r>
          </w:p>
        </w:tc>
        <w:tc>
          <w:tcPr>
            <w:tcW w:w="729" w:type="pct"/>
            <w:shd w:val="clear" w:color="auto" w:fill="auto"/>
            <w:vAlign w:val="center"/>
          </w:tcPr>
          <w:p w14:paraId="30C3C26C" w14:textId="77777777" w:rsidR="00BD5D3D" w:rsidRPr="004C1B78" w:rsidRDefault="00BD5D3D" w:rsidP="004C1B78">
            <w:r w:rsidRPr="004C1B78">
              <w:t>-0.17 (0.06)</w:t>
            </w:r>
          </w:p>
        </w:tc>
        <w:tc>
          <w:tcPr>
            <w:tcW w:w="670" w:type="pct"/>
            <w:shd w:val="clear" w:color="auto" w:fill="auto"/>
            <w:vAlign w:val="center"/>
          </w:tcPr>
          <w:p w14:paraId="6106864B" w14:textId="77777777" w:rsidR="00BD5D3D" w:rsidRPr="004C1B78" w:rsidRDefault="00BD5D3D" w:rsidP="004C1B78">
            <w:r w:rsidRPr="004C1B78">
              <w:t>-0.15 (0.11)</w:t>
            </w:r>
          </w:p>
        </w:tc>
        <w:tc>
          <w:tcPr>
            <w:tcW w:w="671" w:type="pct"/>
            <w:shd w:val="clear" w:color="auto" w:fill="auto"/>
            <w:vAlign w:val="center"/>
          </w:tcPr>
          <w:p w14:paraId="525ADC03" w14:textId="77777777" w:rsidR="00BD5D3D" w:rsidRPr="004C1B78" w:rsidRDefault="00BD5D3D" w:rsidP="004C1B78">
            <w:r w:rsidRPr="004C1B78">
              <w:t>-0.14 (0.14)</w:t>
            </w:r>
          </w:p>
        </w:tc>
        <w:tc>
          <w:tcPr>
            <w:tcW w:w="671" w:type="pct"/>
            <w:vAlign w:val="center"/>
          </w:tcPr>
          <w:p w14:paraId="02B74718" w14:textId="77777777" w:rsidR="00BD5D3D" w:rsidRPr="00C029CF" w:rsidRDefault="00C029CF" w:rsidP="004C1B78">
            <w:pPr>
              <w:rPr>
                <w:b/>
              </w:rPr>
            </w:pPr>
            <w:r w:rsidRPr="00C029CF">
              <w:rPr>
                <w:b/>
              </w:rPr>
              <w:t>-0.19 (0.04)*</w:t>
            </w:r>
          </w:p>
        </w:tc>
      </w:tr>
      <w:tr w:rsidR="00BD5D3D" w:rsidRPr="004C1B78" w14:paraId="0144D629" w14:textId="77777777" w:rsidTr="00BD5D3D">
        <w:tc>
          <w:tcPr>
            <w:tcW w:w="781" w:type="pct"/>
            <w:shd w:val="clear" w:color="auto" w:fill="auto"/>
          </w:tcPr>
          <w:p w14:paraId="46462314" w14:textId="77777777" w:rsidR="00BD5D3D" w:rsidRPr="004C1B78" w:rsidRDefault="00BD5D3D" w:rsidP="004C1B78">
            <w:r w:rsidRPr="004C1B78">
              <w:t>Hippocampus R</w:t>
            </w:r>
          </w:p>
        </w:tc>
        <w:tc>
          <w:tcPr>
            <w:tcW w:w="797" w:type="pct"/>
            <w:shd w:val="clear" w:color="auto" w:fill="auto"/>
            <w:vAlign w:val="center"/>
          </w:tcPr>
          <w:p w14:paraId="0BBC9594" w14:textId="77777777" w:rsidR="00BD5D3D" w:rsidRPr="004C1B78" w:rsidRDefault="00BD5D3D" w:rsidP="004C1B78">
            <w:r w:rsidRPr="004C1B78">
              <w:t>-0.08 (0.40)</w:t>
            </w:r>
          </w:p>
        </w:tc>
        <w:tc>
          <w:tcPr>
            <w:tcW w:w="682" w:type="pct"/>
            <w:shd w:val="clear" w:color="auto" w:fill="auto"/>
            <w:vAlign w:val="center"/>
          </w:tcPr>
          <w:p w14:paraId="5CC3040A" w14:textId="77777777" w:rsidR="00BD5D3D" w:rsidRPr="004C1B78" w:rsidRDefault="00BD5D3D" w:rsidP="004C1B78">
            <w:r w:rsidRPr="004C1B78">
              <w:t>-0.12 (0.21)</w:t>
            </w:r>
          </w:p>
        </w:tc>
        <w:tc>
          <w:tcPr>
            <w:tcW w:w="729" w:type="pct"/>
            <w:shd w:val="clear" w:color="auto" w:fill="auto"/>
            <w:vAlign w:val="center"/>
          </w:tcPr>
          <w:p w14:paraId="407ED317" w14:textId="77777777" w:rsidR="00BD5D3D" w:rsidRPr="004C1B78" w:rsidRDefault="00BD5D3D" w:rsidP="004C1B78">
            <w:r w:rsidRPr="004C1B78">
              <w:t>-0.07 (0.47)</w:t>
            </w:r>
          </w:p>
        </w:tc>
        <w:tc>
          <w:tcPr>
            <w:tcW w:w="670" w:type="pct"/>
            <w:shd w:val="clear" w:color="auto" w:fill="auto"/>
            <w:vAlign w:val="center"/>
          </w:tcPr>
          <w:p w14:paraId="5C7502EE" w14:textId="77777777" w:rsidR="00BD5D3D" w:rsidRPr="004C1B78" w:rsidRDefault="00BD5D3D" w:rsidP="004C1B78">
            <w:r w:rsidRPr="004C1B78">
              <w:t>-0.02 (0.81)</w:t>
            </w:r>
          </w:p>
        </w:tc>
        <w:tc>
          <w:tcPr>
            <w:tcW w:w="671" w:type="pct"/>
            <w:shd w:val="clear" w:color="auto" w:fill="auto"/>
            <w:vAlign w:val="center"/>
          </w:tcPr>
          <w:p w14:paraId="0FFE3BAE" w14:textId="77777777" w:rsidR="00BD5D3D" w:rsidRPr="004C1B78" w:rsidRDefault="00BD5D3D" w:rsidP="004C1B78">
            <w:r w:rsidRPr="004C1B78">
              <w:t>-0.10 (0.29)</w:t>
            </w:r>
          </w:p>
        </w:tc>
        <w:tc>
          <w:tcPr>
            <w:tcW w:w="671" w:type="pct"/>
            <w:vAlign w:val="center"/>
          </w:tcPr>
          <w:p w14:paraId="2744462C" w14:textId="77777777" w:rsidR="00BD5D3D" w:rsidRPr="004C1B78" w:rsidRDefault="00C029CF" w:rsidP="004C1B78">
            <w:r>
              <w:t>-0.06 (0.47)</w:t>
            </w:r>
          </w:p>
        </w:tc>
      </w:tr>
      <w:tr w:rsidR="00BD5D3D" w:rsidRPr="004C1B78" w14:paraId="32DEC0E4" w14:textId="77777777" w:rsidTr="00BD5D3D">
        <w:tc>
          <w:tcPr>
            <w:tcW w:w="781" w:type="pct"/>
            <w:shd w:val="clear" w:color="auto" w:fill="auto"/>
          </w:tcPr>
          <w:p w14:paraId="48D8A402" w14:textId="77777777" w:rsidR="00BD5D3D" w:rsidRPr="004C1B78" w:rsidRDefault="00BD5D3D" w:rsidP="004C1B78">
            <w:r w:rsidRPr="004C1B78">
              <w:t>Hippocampus L</w:t>
            </w:r>
          </w:p>
        </w:tc>
        <w:tc>
          <w:tcPr>
            <w:tcW w:w="797" w:type="pct"/>
            <w:shd w:val="clear" w:color="auto" w:fill="auto"/>
            <w:vAlign w:val="center"/>
          </w:tcPr>
          <w:p w14:paraId="3A18B4A6" w14:textId="77777777" w:rsidR="00BD5D3D" w:rsidRPr="004C1B78" w:rsidRDefault="00BD5D3D" w:rsidP="004C1B78">
            <w:r w:rsidRPr="004C1B78">
              <w:t>-0.08 (0.40)</w:t>
            </w:r>
          </w:p>
        </w:tc>
        <w:tc>
          <w:tcPr>
            <w:tcW w:w="682" w:type="pct"/>
            <w:shd w:val="clear" w:color="auto" w:fill="auto"/>
            <w:vAlign w:val="center"/>
          </w:tcPr>
          <w:p w14:paraId="60D71407" w14:textId="77777777" w:rsidR="00BD5D3D" w:rsidRPr="004C1B78" w:rsidRDefault="00BD5D3D" w:rsidP="004C1B78">
            <w:r w:rsidRPr="004C1B78">
              <w:t>-0.10 (0.27)</w:t>
            </w:r>
          </w:p>
        </w:tc>
        <w:tc>
          <w:tcPr>
            <w:tcW w:w="729" w:type="pct"/>
            <w:shd w:val="clear" w:color="auto" w:fill="auto"/>
            <w:vAlign w:val="center"/>
          </w:tcPr>
          <w:p w14:paraId="36283493" w14:textId="77777777" w:rsidR="00BD5D3D" w:rsidRPr="004C1B78" w:rsidRDefault="00BD5D3D" w:rsidP="004C1B78">
            <w:r w:rsidRPr="004C1B78">
              <w:t>-0.07 (0.46)</w:t>
            </w:r>
          </w:p>
        </w:tc>
        <w:tc>
          <w:tcPr>
            <w:tcW w:w="670" w:type="pct"/>
            <w:shd w:val="clear" w:color="auto" w:fill="auto"/>
            <w:vAlign w:val="center"/>
          </w:tcPr>
          <w:p w14:paraId="3F75B1AF" w14:textId="77777777" w:rsidR="00BD5D3D" w:rsidRPr="004C1B78" w:rsidRDefault="00BD5D3D" w:rsidP="004C1B78">
            <w:r w:rsidRPr="004C1B78">
              <w:t>-0.07 (0.44)</w:t>
            </w:r>
          </w:p>
        </w:tc>
        <w:tc>
          <w:tcPr>
            <w:tcW w:w="671" w:type="pct"/>
            <w:shd w:val="clear" w:color="auto" w:fill="auto"/>
            <w:vAlign w:val="center"/>
          </w:tcPr>
          <w:p w14:paraId="212E6EF4" w14:textId="77777777" w:rsidR="00BD5D3D" w:rsidRPr="004C1B78" w:rsidRDefault="00BD5D3D" w:rsidP="004C1B78">
            <w:r w:rsidRPr="004C1B78">
              <w:t>-0.08 (0.37)</w:t>
            </w:r>
          </w:p>
        </w:tc>
        <w:tc>
          <w:tcPr>
            <w:tcW w:w="671" w:type="pct"/>
            <w:vAlign w:val="center"/>
          </w:tcPr>
          <w:p w14:paraId="0D633B18" w14:textId="77777777" w:rsidR="00BD5D3D" w:rsidRPr="004C1B78" w:rsidRDefault="00C029CF" w:rsidP="004C1B78">
            <w:r>
              <w:t>-0.05 (0.59)</w:t>
            </w:r>
          </w:p>
        </w:tc>
      </w:tr>
      <w:tr w:rsidR="00BD5D3D" w:rsidRPr="004C1B78" w14:paraId="299C8178" w14:textId="77777777" w:rsidTr="00BD5D3D">
        <w:tc>
          <w:tcPr>
            <w:tcW w:w="781" w:type="pct"/>
            <w:shd w:val="clear" w:color="auto" w:fill="auto"/>
          </w:tcPr>
          <w:p w14:paraId="269AB502" w14:textId="77777777" w:rsidR="00BD5D3D" w:rsidRPr="004C1B78" w:rsidRDefault="00BD5D3D" w:rsidP="004C1B78">
            <w:r w:rsidRPr="004C1B78">
              <w:t>WMH</w:t>
            </w:r>
          </w:p>
        </w:tc>
        <w:tc>
          <w:tcPr>
            <w:tcW w:w="797" w:type="pct"/>
            <w:shd w:val="clear" w:color="auto" w:fill="auto"/>
            <w:vAlign w:val="center"/>
          </w:tcPr>
          <w:p w14:paraId="181EE0D3" w14:textId="77777777" w:rsidR="00BD5D3D" w:rsidRPr="004C1B78" w:rsidRDefault="00BD5D3D" w:rsidP="004C1B78">
            <w:r w:rsidRPr="004C1B78">
              <w:t>0.17 (0.06)</w:t>
            </w:r>
          </w:p>
        </w:tc>
        <w:tc>
          <w:tcPr>
            <w:tcW w:w="682" w:type="pct"/>
            <w:shd w:val="clear" w:color="auto" w:fill="auto"/>
            <w:vAlign w:val="center"/>
          </w:tcPr>
          <w:p w14:paraId="73A3C2FC" w14:textId="77777777" w:rsidR="00BD5D3D" w:rsidRPr="004C1B78" w:rsidRDefault="00BD5D3D" w:rsidP="004C1B78">
            <w:pPr>
              <w:rPr>
                <w:b/>
              </w:rPr>
            </w:pPr>
            <w:r w:rsidRPr="004C1B78">
              <w:rPr>
                <w:b/>
              </w:rPr>
              <w:t>0.18 (0.05)*</w:t>
            </w:r>
          </w:p>
        </w:tc>
        <w:tc>
          <w:tcPr>
            <w:tcW w:w="729" w:type="pct"/>
            <w:shd w:val="clear" w:color="auto" w:fill="auto"/>
            <w:vAlign w:val="center"/>
          </w:tcPr>
          <w:p w14:paraId="6C7C308F" w14:textId="77777777" w:rsidR="00BD5D3D" w:rsidRPr="004C1B78" w:rsidRDefault="00BD5D3D" w:rsidP="004C1B78">
            <w:pPr>
              <w:rPr>
                <w:b/>
              </w:rPr>
            </w:pPr>
            <w:r w:rsidRPr="004C1B78">
              <w:rPr>
                <w:b/>
              </w:rPr>
              <w:t>0.20 (0.03)*</w:t>
            </w:r>
          </w:p>
        </w:tc>
        <w:tc>
          <w:tcPr>
            <w:tcW w:w="670" w:type="pct"/>
            <w:shd w:val="clear" w:color="auto" w:fill="auto"/>
            <w:vAlign w:val="center"/>
          </w:tcPr>
          <w:p w14:paraId="735FD741" w14:textId="77777777" w:rsidR="00BD5D3D" w:rsidRPr="004C1B78" w:rsidRDefault="00BD5D3D" w:rsidP="004C1B78">
            <w:r w:rsidRPr="004C1B78">
              <w:t>0.16 (0.07)</w:t>
            </w:r>
          </w:p>
        </w:tc>
        <w:tc>
          <w:tcPr>
            <w:tcW w:w="671" w:type="pct"/>
            <w:shd w:val="clear" w:color="auto" w:fill="auto"/>
            <w:vAlign w:val="center"/>
          </w:tcPr>
          <w:p w14:paraId="3ED1DBD0" w14:textId="77777777" w:rsidR="00BD5D3D" w:rsidRPr="004C1B78" w:rsidRDefault="00BD5D3D" w:rsidP="004C1B78">
            <w:pPr>
              <w:rPr>
                <w:b/>
              </w:rPr>
            </w:pPr>
            <w:r w:rsidRPr="004C1B78">
              <w:rPr>
                <w:b/>
              </w:rPr>
              <w:t>0.24 (0.009)*</w:t>
            </w:r>
          </w:p>
        </w:tc>
        <w:tc>
          <w:tcPr>
            <w:tcW w:w="671" w:type="pct"/>
            <w:vAlign w:val="center"/>
          </w:tcPr>
          <w:p w14:paraId="13EA9681" w14:textId="77777777" w:rsidR="00BD5D3D" w:rsidRPr="004C1B78" w:rsidRDefault="00C029CF" w:rsidP="004C1B78">
            <w:pPr>
              <w:rPr>
                <w:b/>
              </w:rPr>
            </w:pPr>
            <w:r>
              <w:rPr>
                <w:b/>
              </w:rPr>
              <w:t>0.19 (0.04)*</w:t>
            </w:r>
          </w:p>
        </w:tc>
      </w:tr>
      <w:tr w:rsidR="00BD5D3D" w:rsidRPr="004C1B78" w14:paraId="6684761E" w14:textId="77777777" w:rsidTr="00BD5D3D">
        <w:tc>
          <w:tcPr>
            <w:tcW w:w="4329" w:type="pct"/>
            <w:gridSpan w:val="6"/>
            <w:shd w:val="clear" w:color="auto" w:fill="auto"/>
            <w:vAlign w:val="center"/>
          </w:tcPr>
          <w:p w14:paraId="741FB1AE" w14:textId="77777777" w:rsidR="00BD5D3D" w:rsidRPr="004C1B78" w:rsidRDefault="00BD5D3D" w:rsidP="004C1B78">
            <w:r w:rsidRPr="004C1B78">
              <w:t>Cognition at mean age 72.7 years</w:t>
            </w:r>
          </w:p>
        </w:tc>
        <w:tc>
          <w:tcPr>
            <w:tcW w:w="671" w:type="pct"/>
            <w:vAlign w:val="center"/>
          </w:tcPr>
          <w:p w14:paraId="7EF05F49" w14:textId="77777777" w:rsidR="00BD5D3D" w:rsidRPr="004C1B78" w:rsidRDefault="00BD5D3D" w:rsidP="004C1B78"/>
        </w:tc>
      </w:tr>
      <w:tr w:rsidR="00BD5D3D" w:rsidRPr="004C1B78" w14:paraId="14DB5083" w14:textId="77777777" w:rsidTr="00BD5D3D">
        <w:tc>
          <w:tcPr>
            <w:tcW w:w="781" w:type="pct"/>
            <w:shd w:val="clear" w:color="auto" w:fill="auto"/>
          </w:tcPr>
          <w:p w14:paraId="02B44DD2" w14:textId="77777777" w:rsidR="00BD5D3D" w:rsidRPr="004C1B78" w:rsidRDefault="00BD5D3D" w:rsidP="004C1B78">
            <w:r w:rsidRPr="004C1B78">
              <w:t>g</w:t>
            </w:r>
          </w:p>
        </w:tc>
        <w:tc>
          <w:tcPr>
            <w:tcW w:w="797" w:type="pct"/>
            <w:shd w:val="clear" w:color="auto" w:fill="auto"/>
            <w:vAlign w:val="center"/>
          </w:tcPr>
          <w:p w14:paraId="5A1A1A80" w14:textId="77777777" w:rsidR="00BD5D3D" w:rsidRPr="004C1B78" w:rsidRDefault="00BD5D3D" w:rsidP="004C1B78">
            <w:r w:rsidRPr="004C1B78">
              <w:t>-0.08 (0.22)</w:t>
            </w:r>
          </w:p>
        </w:tc>
        <w:tc>
          <w:tcPr>
            <w:tcW w:w="682" w:type="pct"/>
            <w:shd w:val="clear" w:color="auto" w:fill="auto"/>
            <w:vAlign w:val="center"/>
          </w:tcPr>
          <w:p w14:paraId="36777699" w14:textId="77777777" w:rsidR="00BD5D3D" w:rsidRPr="004C1B78" w:rsidRDefault="00BD5D3D" w:rsidP="004C1B78">
            <w:r w:rsidRPr="004C1B78">
              <w:t>-0.11 (0.11)</w:t>
            </w:r>
          </w:p>
        </w:tc>
        <w:tc>
          <w:tcPr>
            <w:tcW w:w="729" w:type="pct"/>
            <w:shd w:val="clear" w:color="auto" w:fill="auto"/>
            <w:vAlign w:val="center"/>
          </w:tcPr>
          <w:p w14:paraId="200D8AC0" w14:textId="77777777" w:rsidR="00BD5D3D" w:rsidRPr="004C1B78" w:rsidRDefault="00BD5D3D" w:rsidP="004C1B78">
            <w:r w:rsidRPr="004C1B78">
              <w:t>-0.01 (0.82)</w:t>
            </w:r>
          </w:p>
        </w:tc>
        <w:tc>
          <w:tcPr>
            <w:tcW w:w="670" w:type="pct"/>
            <w:shd w:val="clear" w:color="auto" w:fill="auto"/>
            <w:vAlign w:val="center"/>
          </w:tcPr>
          <w:p w14:paraId="42909FF2" w14:textId="77777777" w:rsidR="00BD5D3D" w:rsidRPr="004C1B78" w:rsidRDefault="00BD5D3D" w:rsidP="004C1B78">
            <w:r w:rsidRPr="004C1B78">
              <w:t>-0.05 (0.40)</w:t>
            </w:r>
          </w:p>
        </w:tc>
        <w:tc>
          <w:tcPr>
            <w:tcW w:w="671" w:type="pct"/>
            <w:shd w:val="clear" w:color="auto" w:fill="auto"/>
            <w:vAlign w:val="center"/>
          </w:tcPr>
          <w:p w14:paraId="4154E998" w14:textId="77777777" w:rsidR="00BD5D3D" w:rsidRPr="004C1B78" w:rsidRDefault="00BD5D3D" w:rsidP="004C1B78">
            <w:r w:rsidRPr="004C1B78">
              <w:t>-0.11 (0.10)</w:t>
            </w:r>
          </w:p>
        </w:tc>
        <w:tc>
          <w:tcPr>
            <w:tcW w:w="671" w:type="pct"/>
            <w:vAlign w:val="center"/>
          </w:tcPr>
          <w:p w14:paraId="71924E86" w14:textId="77777777" w:rsidR="00BD5D3D" w:rsidRPr="004C1B78" w:rsidRDefault="00C029CF" w:rsidP="004C1B78">
            <w:r>
              <w:t>-0.05 (0.56)</w:t>
            </w:r>
          </w:p>
        </w:tc>
      </w:tr>
      <w:tr w:rsidR="00BD5D3D" w:rsidRPr="004C1B78" w14:paraId="001D60A6" w14:textId="77777777" w:rsidTr="00BD5D3D">
        <w:tc>
          <w:tcPr>
            <w:tcW w:w="781" w:type="pct"/>
            <w:shd w:val="clear" w:color="auto" w:fill="auto"/>
          </w:tcPr>
          <w:p w14:paraId="3CAC5F5F" w14:textId="77777777" w:rsidR="00BD5D3D" w:rsidRPr="004C1B78" w:rsidRDefault="00BD5D3D" w:rsidP="004C1B78">
            <w:proofErr w:type="spellStart"/>
            <w:r w:rsidRPr="004C1B78">
              <w:lastRenderedPageBreak/>
              <w:t>g_speed</w:t>
            </w:r>
            <w:proofErr w:type="spellEnd"/>
          </w:p>
        </w:tc>
        <w:tc>
          <w:tcPr>
            <w:tcW w:w="797" w:type="pct"/>
            <w:shd w:val="clear" w:color="auto" w:fill="auto"/>
            <w:vAlign w:val="center"/>
          </w:tcPr>
          <w:p w14:paraId="3BD398AD" w14:textId="77777777" w:rsidR="00BD5D3D" w:rsidRPr="004C1B78" w:rsidRDefault="00BD5D3D" w:rsidP="004C1B78">
            <w:r w:rsidRPr="004C1B78">
              <w:t>-0.08 (0.28)</w:t>
            </w:r>
          </w:p>
        </w:tc>
        <w:tc>
          <w:tcPr>
            <w:tcW w:w="682" w:type="pct"/>
            <w:shd w:val="clear" w:color="auto" w:fill="auto"/>
            <w:vAlign w:val="center"/>
          </w:tcPr>
          <w:p w14:paraId="3F950488" w14:textId="77777777" w:rsidR="00BD5D3D" w:rsidRPr="004C1B78" w:rsidRDefault="00BD5D3D" w:rsidP="004C1B78">
            <w:r w:rsidRPr="004C1B78">
              <w:t>-0.08 (0.26)</w:t>
            </w:r>
          </w:p>
        </w:tc>
        <w:tc>
          <w:tcPr>
            <w:tcW w:w="729" w:type="pct"/>
            <w:shd w:val="clear" w:color="auto" w:fill="auto"/>
            <w:vAlign w:val="center"/>
          </w:tcPr>
          <w:p w14:paraId="52DBAD85" w14:textId="77777777" w:rsidR="00BD5D3D" w:rsidRPr="004C1B78" w:rsidRDefault="00BD5D3D" w:rsidP="004C1B78">
            <w:r w:rsidRPr="004C1B78">
              <w:t>-0.06 (0.40)</w:t>
            </w:r>
          </w:p>
        </w:tc>
        <w:tc>
          <w:tcPr>
            <w:tcW w:w="670" w:type="pct"/>
            <w:shd w:val="clear" w:color="auto" w:fill="auto"/>
            <w:vAlign w:val="center"/>
          </w:tcPr>
          <w:p w14:paraId="509CB888" w14:textId="77777777" w:rsidR="00BD5D3D" w:rsidRPr="004C1B78" w:rsidRDefault="00BD5D3D" w:rsidP="004C1B78">
            <w:r w:rsidRPr="004C1B78">
              <w:t>-0.09 (0.23)</w:t>
            </w:r>
          </w:p>
        </w:tc>
        <w:tc>
          <w:tcPr>
            <w:tcW w:w="671" w:type="pct"/>
            <w:shd w:val="clear" w:color="auto" w:fill="auto"/>
            <w:vAlign w:val="center"/>
          </w:tcPr>
          <w:p w14:paraId="276024DB" w14:textId="77777777" w:rsidR="00BD5D3D" w:rsidRPr="004C1B78" w:rsidRDefault="00BD5D3D" w:rsidP="004C1B78">
            <w:r w:rsidRPr="004C1B78">
              <w:t>-0.04 (0.55)</w:t>
            </w:r>
          </w:p>
        </w:tc>
        <w:tc>
          <w:tcPr>
            <w:tcW w:w="671" w:type="pct"/>
            <w:vAlign w:val="center"/>
          </w:tcPr>
          <w:p w14:paraId="2E72AB2B" w14:textId="77777777" w:rsidR="00BD5D3D" w:rsidRPr="004C1B78" w:rsidRDefault="00C029CF" w:rsidP="004C1B78">
            <w:r>
              <w:t>-0.08 (0.33)</w:t>
            </w:r>
          </w:p>
        </w:tc>
      </w:tr>
      <w:tr w:rsidR="00BD5D3D" w:rsidRPr="004C1B78" w14:paraId="43660E5B" w14:textId="77777777" w:rsidTr="00BD5D3D">
        <w:tc>
          <w:tcPr>
            <w:tcW w:w="781" w:type="pct"/>
            <w:shd w:val="clear" w:color="auto" w:fill="auto"/>
          </w:tcPr>
          <w:p w14:paraId="0211737C" w14:textId="77777777" w:rsidR="00BD5D3D" w:rsidRPr="004C1B78" w:rsidRDefault="00BD5D3D" w:rsidP="004C1B78">
            <w:proofErr w:type="spellStart"/>
            <w:r w:rsidRPr="004C1B78">
              <w:t>g_memory</w:t>
            </w:r>
            <w:proofErr w:type="spellEnd"/>
          </w:p>
        </w:tc>
        <w:tc>
          <w:tcPr>
            <w:tcW w:w="797" w:type="pct"/>
            <w:shd w:val="clear" w:color="auto" w:fill="auto"/>
            <w:vAlign w:val="center"/>
          </w:tcPr>
          <w:p w14:paraId="728811D8" w14:textId="77777777" w:rsidR="00BD5D3D" w:rsidRPr="004C1B78" w:rsidRDefault="00BD5D3D" w:rsidP="004C1B78">
            <w:r w:rsidRPr="004C1B78">
              <w:t>0.04 (0.56)</w:t>
            </w:r>
          </w:p>
        </w:tc>
        <w:tc>
          <w:tcPr>
            <w:tcW w:w="682" w:type="pct"/>
            <w:shd w:val="clear" w:color="auto" w:fill="auto"/>
            <w:vAlign w:val="center"/>
          </w:tcPr>
          <w:p w14:paraId="692183B7" w14:textId="77777777" w:rsidR="00BD5D3D" w:rsidRPr="004C1B78" w:rsidRDefault="00BD5D3D" w:rsidP="004C1B78">
            <w:r w:rsidRPr="004C1B78">
              <w:t>0.004 (0.95)</w:t>
            </w:r>
          </w:p>
        </w:tc>
        <w:tc>
          <w:tcPr>
            <w:tcW w:w="729" w:type="pct"/>
            <w:shd w:val="clear" w:color="auto" w:fill="auto"/>
            <w:vAlign w:val="center"/>
          </w:tcPr>
          <w:p w14:paraId="45C6F200" w14:textId="77777777" w:rsidR="00BD5D3D" w:rsidRPr="004C1B78" w:rsidRDefault="00BD5D3D" w:rsidP="004C1B78">
            <w:r w:rsidRPr="004C1B78">
              <w:t>0.07 (0.34)</w:t>
            </w:r>
          </w:p>
        </w:tc>
        <w:tc>
          <w:tcPr>
            <w:tcW w:w="670" w:type="pct"/>
            <w:shd w:val="clear" w:color="auto" w:fill="auto"/>
            <w:vAlign w:val="center"/>
          </w:tcPr>
          <w:p w14:paraId="7C3EC0C3" w14:textId="77777777" w:rsidR="00BD5D3D" w:rsidRPr="004C1B78" w:rsidRDefault="00BD5D3D" w:rsidP="004C1B78">
            <w:r w:rsidRPr="004C1B78">
              <w:t>0.03 (0.70)</w:t>
            </w:r>
          </w:p>
        </w:tc>
        <w:tc>
          <w:tcPr>
            <w:tcW w:w="671" w:type="pct"/>
            <w:shd w:val="clear" w:color="auto" w:fill="auto"/>
            <w:vAlign w:val="center"/>
          </w:tcPr>
          <w:p w14:paraId="0E760615" w14:textId="77777777" w:rsidR="00BD5D3D" w:rsidRPr="004C1B78" w:rsidRDefault="00BD5D3D" w:rsidP="004C1B78">
            <w:r w:rsidRPr="004C1B78">
              <w:t>-0.008 (0.92)</w:t>
            </w:r>
          </w:p>
        </w:tc>
        <w:tc>
          <w:tcPr>
            <w:tcW w:w="671" w:type="pct"/>
            <w:vAlign w:val="center"/>
          </w:tcPr>
          <w:p w14:paraId="60D4163D" w14:textId="77777777" w:rsidR="00BD5D3D" w:rsidRPr="004C1B78" w:rsidRDefault="00C029CF" w:rsidP="004C1B78">
            <w:r>
              <w:t>0.09 (0.29)</w:t>
            </w:r>
          </w:p>
        </w:tc>
      </w:tr>
    </w:tbl>
    <w:p w14:paraId="3D419DFD" w14:textId="77777777" w:rsidR="00661B01" w:rsidRDefault="00661B01" w:rsidP="00661B01"/>
    <w:p w14:paraId="1956C017" w14:textId="77777777" w:rsidR="00661B01" w:rsidRDefault="00661B01" w:rsidP="00661B01"/>
    <w:p w14:paraId="3013E947" w14:textId="4008AD01" w:rsidR="00661B01" w:rsidRPr="0052701F" w:rsidRDefault="00117E7B" w:rsidP="00661B01">
      <w:pPr>
        <w:rPr>
          <w:b/>
          <w:sz w:val="32"/>
        </w:rPr>
      </w:pPr>
      <w:r>
        <w:rPr>
          <w:b/>
          <w:sz w:val="32"/>
        </w:rPr>
        <w:t xml:space="preserve">4 </w:t>
      </w:r>
      <w:r w:rsidR="00661B01" w:rsidRPr="0052701F">
        <w:rPr>
          <w:b/>
          <w:sz w:val="32"/>
        </w:rPr>
        <w:t>Discussion</w:t>
      </w:r>
    </w:p>
    <w:p w14:paraId="06E9281B" w14:textId="77777777" w:rsidR="00661B01" w:rsidRDefault="00661B01" w:rsidP="00661B01"/>
    <w:p w14:paraId="5CA83DF2" w14:textId="250F986D" w:rsidR="00741E17" w:rsidRDefault="004F7A84" w:rsidP="00CC4148">
      <w:pPr>
        <w:spacing w:before="120" w:after="120" w:line="360" w:lineRule="auto"/>
        <w:jc w:val="both"/>
      </w:pPr>
      <w:r>
        <w:t xml:space="preserve">Iodine intake is key for the formation of thyroid hormones, and for neurodevelopment. While </w:t>
      </w:r>
      <w:r w:rsidR="00315E77">
        <w:t>the critical role of nutrition</w:t>
      </w:r>
      <w:r>
        <w:t xml:space="preserve"> </w:t>
      </w:r>
      <w:r w:rsidR="00315E77">
        <w:t xml:space="preserve">is becoming better understood </w:t>
      </w:r>
      <w:r>
        <w:t xml:space="preserve">at </w:t>
      </w:r>
      <w:r w:rsidR="00B6722F">
        <w:t xml:space="preserve">important </w:t>
      </w:r>
      <w:r w:rsidR="00B6722F" w:rsidRPr="00E83EE5">
        <w:t>developmental stages</w:t>
      </w:r>
      <w:r w:rsidR="00315E77" w:rsidRPr="00E83EE5">
        <w:t xml:space="preserve">, </w:t>
      </w:r>
      <w:r w:rsidR="000D77C8" w:rsidRPr="00E83EE5">
        <w:t>limited data exist on iodine intake in the elderly</w:t>
      </w:r>
      <w:r w:rsidR="000D77C8" w:rsidRPr="00E83EE5">
        <w:fldChar w:fldCharType="begin"/>
      </w:r>
      <w:r w:rsidR="001544FE" w:rsidRPr="00E83EE5">
        <w:instrText xml:space="preserve"> ADDIN REFMGR.CITE &lt;Refman&gt;&lt;Cite&gt;&lt;Author&gt;Destefani&lt;/Author&gt;&lt;Year&gt;2015&lt;/Year&gt;&lt;RecNum&gt;21598&lt;/RecNum&gt;&lt;IDText&gt;Prevalence of iodine intake inadequacy in elderly Brazilian women. A cross-sectional study&lt;/IDText&gt;&lt;MDL Ref_Type="Journal"&gt;&lt;Ref_Type&gt;Journal&lt;/Ref_Type&gt;&lt;Ref_ID&gt;21598&lt;/Ref_ID&gt;&lt;Title_Primary&gt;&lt;f name="Times New Roman"&gt;Prevalence of iodine intake inadequacy in elderly Brazilian women. A cross-sectional study&lt;/f&gt;&lt;/Title_Primary&gt;&lt;Authors_Primary&gt;Destefani,S.A.&lt;/Authors_Primary&gt;&lt;Authors_Primary&gt;Corrente,J.E.&lt;/Authors_Primary&gt;&lt;Authors_Primary&gt;Paiva,S.A.&lt;/Authors_Primary&gt;&lt;Authors_Primary&gt;Mazeto,G.M.&lt;/Authors_Primary&gt;&lt;Date_Primary&gt;2015/2/1&lt;/Date_Primary&gt;&lt;Keywords&gt;Prevalence&lt;/Keywords&gt;&lt;Keywords&gt;of&lt;/Keywords&gt;&lt;Keywords&gt;elderly&lt;/Keywords&gt;&lt;Keywords&gt;Women&lt;/Keywords&gt;&lt;Reprint&gt;Not in File&lt;/Reprint&gt;&lt;Start_Page&gt;137&lt;/Start_Page&gt;&lt;End_Page&gt;140&lt;/End_Page&gt;&lt;Periodical&gt;J Nutr Health Aging&lt;/Periodical&gt;&lt;Volume&gt;19&lt;/Volume&gt;&lt;Issue&gt;2&lt;/Issue&gt;&lt;ZZ_JournalFull&gt;&lt;f name="System"&gt;J Nutr Health Aging&lt;/f&gt;&lt;/ZZ_JournalFull&gt;&lt;ZZ_WorkformID&gt;1&lt;/ZZ_WorkformID&gt;&lt;/MDL&gt;&lt;/Cite&gt;&lt;/Refman&gt;</w:instrText>
      </w:r>
      <w:r w:rsidR="000D77C8" w:rsidRPr="00E83EE5">
        <w:fldChar w:fldCharType="separate"/>
      </w:r>
      <w:r w:rsidR="00547674" w:rsidRPr="00E83EE5">
        <w:rPr>
          <w:noProof/>
        </w:rPr>
        <w:t>(21)</w:t>
      </w:r>
      <w:r w:rsidR="000D77C8" w:rsidRPr="00E83EE5">
        <w:fldChar w:fldCharType="end"/>
      </w:r>
      <w:r w:rsidR="000D77C8" w:rsidRPr="00E83EE5">
        <w:t xml:space="preserve">, and </w:t>
      </w:r>
      <w:r w:rsidR="00315E77" w:rsidRPr="00E83EE5">
        <w:t xml:space="preserve">much less is known regarding its impact throughout the </w:t>
      </w:r>
      <w:r w:rsidR="00567A4A" w:rsidRPr="00E83EE5">
        <w:t>life</w:t>
      </w:r>
      <w:r w:rsidR="00315E77" w:rsidRPr="00E83EE5">
        <w:t>span</w:t>
      </w:r>
      <w:r w:rsidRPr="00E83EE5">
        <w:t xml:space="preserve">. </w:t>
      </w:r>
      <w:r w:rsidR="005231FB" w:rsidRPr="00E83EE5">
        <w:t>W</w:t>
      </w:r>
      <w:r w:rsidR="00C87F58" w:rsidRPr="00E83EE5">
        <w:t>ith the assumption</w:t>
      </w:r>
      <w:r w:rsidR="00315E77" w:rsidRPr="00E83EE5">
        <w:t xml:space="preserve"> that extreme</w:t>
      </w:r>
      <w:r w:rsidR="001C624B" w:rsidRPr="00E83EE5">
        <w:t>, or very specific,</w:t>
      </w:r>
      <w:r w:rsidR="00315E77" w:rsidRPr="00E83EE5">
        <w:t xml:space="preserve"> consumption patterns are likely to remain </w:t>
      </w:r>
      <w:r w:rsidR="000F2BE4" w:rsidRPr="00E83EE5">
        <w:t xml:space="preserve">relatively stable </w:t>
      </w:r>
      <w:r w:rsidR="00315E77" w:rsidRPr="00E83EE5">
        <w:t xml:space="preserve">throughout life; </w:t>
      </w:r>
      <w:r w:rsidR="000F2BE4" w:rsidRPr="00E83EE5">
        <w:t>that is</w:t>
      </w:r>
      <w:r w:rsidR="00315E77" w:rsidRPr="00E83EE5">
        <w:t xml:space="preserve">, </w:t>
      </w:r>
      <w:r w:rsidR="000F2BE4" w:rsidRPr="00E83EE5">
        <w:t xml:space="preserve">that </w:t>
      </w:r>
      <w:r w:rsidR="00315E77" w:rsidRPr="00E83EE5">
        <w:t>dairy</w:t>
      </w:r>
      <w:r w:rsidR="001C624B" w:rsidRPr="00E83EE5">
        <w:t xml:space="preserve"> or fish</w:t>
      </w:r>
      <w:r w:rsidR="00315E77" w:rsidRPr="00E83EE5">
        <w:t xml:space="preserve"> avoid</w:t>
      </w:r>
      <w:r w:rsidR="000F2BE4" w:rsidRPr="00E83EE5">
        <w:t xml:space="preserve">ers </w:t>
      </w:r>
      <w:r w:rsidR="0048574F" w:rsidRPr="00E83EE5">
        <w:t xml:space="preserve">in later life </w:t>
      </w:r>
      <w:r w:rsidR="000F2BE4" w:rsidRPr="00E83EE5">
        <w:t xml:space="preserve">will have been likely to have acquired such </w:t>
      </w:r>
      <w:r w:rsidR="001C624B" w:rsidRPr="00E83EE5">
        <w:t>specific</w:t>
      </w:r>
      <w:r w:rsidR="000F2BE4" w:rsidRPr="00E83EE5">
        <w:t xml:space="preserve"> dietary habits earlier in life</w:t>
      </w:r>
      <w:r w:rsidR="003C0B27" w:rsidRPr="00E83EE5">
        <w:t>,</w:t>
      </w:r>
      <w:r w:rsidR="00315E77" w:rsidRPr="00E83EE5">
        <w:t xml:space="preserve"> we identified four groups with contrasting intake of iodine-rich products in a well characterised </w:t>
      </w:r>
      <w:r w:rsidR="003C0B27" w:rsidRPr="00E83EE5">
        <w:t xml:space="preserve">large birth cohort </w:t>
      </w:r>
      <w:r w:rsidR="00315E77" w:rsidRPr="00E83EE5">
        <w:t>of elderly adults.</w:t>
      </w:r>
      <w:r w:rsidR="000C4F11" w:rsidRPr="00E83EE5">
        <w:t xml:space="preserve"> </w:t>
      </w:r>
      <w:r w:rsidR="003C0B27" w:rsidRPr="00E83EE5">
        <w:t>Contrary to our hypothesis, w</w:t>
      </w:r>
      <w:r w:rsidRPr="00E83EE5">
        <w:t xml:space="preserve">e did not observe any difference </w:t>
      </w:r>
      <w:r w:rsidR="003C0B27" w:rsidRPr="00E83EE5">
        <w:t xml:space="preserve">in cognition or brain atrophy/white matter damage </w:t>
      </w:r>
      <w:r w:rsidRPr="00E83EE5">
        <w:t xml:space="preserve">between groups </w:t>
      </w:r>
      <w:r w:rsidR="000F2BE4" w:rsidRPr="00E83EE5">
        <w:t xml:space="preserve">with </w:t>
      </w:r>
      <w:r w:rsidR="003C0B27" w:rsidRPr="00E83EE5">
        <w:t>marked differences in</w:t>
      </w:r>
      <w:r w:rsidR="000F2BE4" w:rsidRPr="00E83EE5">
        <w:t xml:space="preserve"> iodine consumption</w:t>
      </w:r>
      <w:r w:rsidRPr="00E83EE5">
        <w:t>.</w:t>
      </w:r>
      <w:r w:rsidR="005231FB" w:rsidRPr="00E83EE5">
        <w:t xml:space="preserve"> </w:t>
      </w:r>
      <w:r w:rsidR="003C0B27" w:rsidRPr="00E83EE5">
        <w:t xml:space="preserve">In the small subsample of individuals with dietary habits suggesting a sustained trait of iodine consumption, </w:t>
      </w:r>
      <w:r w:rsidR="00FA48C2" w:rsidRPr="00E83EE5">
        <w:t>low animal fat intake and, in general, a low calorie-and-salt diet were</w:t>
      </w:r>
      <w:r w:rsidR="003C0B27" w:rsidRPr="00E83EE5">
        <w:t xml:space="preserve"> associated</w:t>
      </w:r>
      <w:r w:rsidR="0048574F" w:rsidRPr="00E83EE5">
        <w:t xml:space="preserve"> with </w:t>
      </w:r>
      <w:r w:rsidR="00FA48C2" w:rsidRPr="00E83EE5">
        <w:t xml:space="preserve">preserved </w:t>
      </w:r>
      <w:r w:rsidR="0048574F" w:rsidRPr="00E83EE5">
        <w:t xml:space="preserve">lateral </w:t>
      </w:r>
      <w:r w:rsidR="00FA48C2" w:rsidRPr="00E83EE5">
        <w:t>brain</w:t>
      </w:r>
      <w:r w:rsidR="004C6AED" w:rsidRPr="00E83EE5">
        <w:t xml:space="preserve"> </w:t>
      </w:r>
      <w:r w:rsidR="0048574F" w:rsidRPr="00E83EE5">
        <w:t>ventricular</w:t>
      </w:r>
      <w:r w:rsidR="00E51EFA" w:rsidRPr="00E83EE5">
        <w:t xml:space="preserve"> size</w:t>
      </w:r>
      <w:r w:rsidR="00FA48C2" w:rsidRPr="00E83EE5">
        <w:t xml:space="preserve">, indicative of reduced or absent </w:t>
      </w:r>
      <w:r w:rsidR="004366A6" w:rsidRPr="00E83EE5">
        <w:t xml:space="preserve">brain </w:t>
      </w:r>
      <w:r w:rsidR="00CC4148" w:rsidRPr="00E83EE5">
        <w:t>atrophy</w:t>
      </w:r>
      <w:r w:rsidR="005231FB" w:rsidRPr="00E83EE5">
        <w:t>.</w:t>
      </w:r>
      <w:r w:rsidR="00F70538" w:rsidRPr="00E83EE5">
        <w:t xml:space="preserve"> This result is confirmatory of those from </w:t>
      </w:r>
      <w:r w:rsidR="000B15D7" w:rsidRPr="00E83EE5">
        <w:t xml:space="preserve">a study on </w:t>
      </w:r>
      <w:r w:rsidR="00F70538" w:rsidRPr="00E83EE5">
        <w:t xml:space="preserve">674 non-demented older adults </w:t>
      </w:r>
      <w:r w:rsidR="000B15D7" w:rsidRPr="00E83EE5">
        <w:t>from a multi-ethnic cohort in Manhattan, which concluded that higher fish (iodine-rich</w:t>
      </w:r>
      <w:r w:rsidR="003B7582" w:rsidRPr="00E83EE5">
        <w:t>, but also a source of other nutrients</w:t>
      </w:r>
      <w:r w:rsidR="000B15D7" w:rsidRPr="00E83EE5">
        <w:t>) and lower meat (energy and protein-rich) intake were the key two elements contributing to the association of</w:t>
      </w:r>
      <w:r w:rsidR="000B15D7">
        <w:t xml:space="preserve"> the Mediterranean diet with less brain atrophy</w:t>
      </w:r>
      <w:r w:rsidR="00CB6193">
        <w:fldChar w:fldCharType="begin"/>
      </w:r>
      <w:r w:rsidR="001544FE">
        <w:instrText xml:space="preserve"> ADDIN REFMGR.CITE &lt;Refman&gt;&lt;Cite&gt;&lt;Author&gt;Gu&lt;/Author&gt;&lt;Year&gt;2015&lt;/Year&gt;&lt;RecNum&gt;21596&lt;/RecNum&gt;&lt;IDText&gt;Mediterranean diet and brain structure in a multiethnic elderly cohort&lt;/IDText&gt;&lt;MDL Ref_Type="Journal"&gt;&lt;Ref_Type&gt;Journal&lt;/Ref_Type&gt;&lt;Ref_ID&gt;21596&lt;/Ref_ID&gt;&lt;Title_Primary&gt;&lt;f name="Times New Roman"&gt;Mediterranean diet and brain structure in a multiethnic elderly cohort&lt;/f&gt;&lt;/Title_Primary&gt;&lt;Authors_Primary&gt;Gu,Y.&lt;/Authors_Primary&gt;&lt;Authors_Primary&gt;Brickman,A.M.&lt;/Authors_Primary&gt;&lt;Authors_Primary&gt;Stern,Y.&lt;/Authors_Primary&gt;&lt;Authors_Primary&gt;Habeck,C.G.&lt;/Authors_Primary&gt;&lt;Authors_Primary&gt;Razlighi,Q.R.&lt;/Authors_Primary&gt;&lt;Authors_Primary&gt;Luchsinger,J.A.&lt;/Authors_Primary&gt;&lt;Authors_Primary&gt;Manly,J.J.&lt;/Authors_Primary&gt;&lt;Authors_Primary&gt;Schupf,N.&lt;/Authors_Primary&gt;&lt;Authors_Primary&gt;Mayeux,R.&lt;/Authors_Primary&gt;&lt;Authors_Primary&gt;Scarmeas,N.&lt;/Authors_Primary&gt;&lt;Date_Primary&gt;2015/11/17&lt;/Date_Primary&gt;&lt;Keywords&gt;Diet&lt;/Keywords&gt;&lt;Keywords&gt;and&lt;/Keywords&gt;&lt;Keywords&gt;Brain&lt;/Keywords&gt;&lt;Keywords&gt;Brain structure&lt;/Keywords&gt;&lt;Keywords&gt;elderly&lt;/Keywords&gt;&lt;Reprint&gt;Not in File&lt;/Reprint&gt;&lt;Start_Page&gt;1744&lt;/Start_Page&gt;&lt;End_Page&gt;1751&lt;/End_Page&gt;&lt;Periodical&gt;Neurology&lt;/Periodical&gt;&lt;Volume&gt;85&lt;/Volume&gt;&lt;Issue&gt;20&lt;/Issue&gt;&lt;ZZ_JournalFull&gt;&lt;f name="System"&gt;Neurology&lt;/f&gt;&lt;/ZZ_JournalFull&gt;&lt;ZZ_WorkformID&gt;1&lt;/ZZ_WorkformID&gt;&lt;/MDL&gt;&lt;/Cite&gt;&lt;/Refman&gt;</w:instrText>
      </w:r>
      <w:r w:rsidR="00CB6193">
        <w:fldChar w:fldCharType="separate"/>
      </w:r>
      <w:r w:rsidR="00547674">
        <w:rPr>
          <w:noProof/>
        </w:rPr>
        <w:t>(22)</w:t>
      </w:r>
      <w:r w:rsidR="00CB6193">
        <w:fldChar w:fldCharType="end"/>
      </w:r>
      <w:r w:rsidR="000B15D7">
        <w:t>.</w:t>
      </w:r>
      <w:r w:rsidR="004366A6">
        <w:t xml:space="preserve"> It also confirms results from another study on 52 </w:t>
      </w:r>
      <w:r w:rsidR="00177EEB">
        <w:t xml:space="preserve">individuals </w:t>
      </w:r>
      <w:r w:rsidR="004366A6">
        <w:t xml:space="preserve">cognitively normal but at risk for Alzheimer’s disease (AD), which also assessed brain atrophy from brain MRI and found that the nutrient combination identified as “AD-protective” </w:t>
      </w:r>
      <w:r w:rsidR="000F2BE4">
        <w:t xml:space="preserve">(i.e. that was associated with reduced brain atrophy) </w:t>
      </w:r>
      <w:r w:rsidR="004366A6">
        <w:t xml:space="preserve">was </w:t>
      </w:r>
      <w:r w:rsidR="000F2BE4">
        <w:t>linked to</w:t>
      </w:r>
      <w:r w:rsidR="004366A6">
        <w:t xml:space="preserve"> higher intake of fish and low-fat </w:t>
      </w:r>
      <w:r w:rsidR="00937F64">
        <w:t xml:space="preserve">dairy products </w:t>
      </w:r>
      <w:r w:rsidR="004366A6">
        <w:t>and lower intake of high-fat dairies, processed meat and butter</w:t>
      </w:r>
      <w:r w:rsidR="00CB6193">
        <w:fldChar w:fldCharType="begin"/>
      </w:r>
      <w:r w:rsidR="001544FE">
        <w:instrText xml:space="preserve"> ADDIN REFMGR.CITE &lt;Refman&gt;&lt;Cite&gt;&lt;Author&gt;Berti&lt;/Author&gt;&lt;Year&gt;2015&lt;/Year&gt;&lt;RecNum&gt;21597&lt;/RecNum&gt;&lt;IDText&gt;Nutrient patterns and brain biomarkers of Alzheimer&amp;apos;s disease in cognitively normal individuals&lt;/IDText&gt;&lt;MDL Ref_Type="Journal"&gt;&lt;Ref_Type&gt;Journal&lt;/Ref_Type&gt;&lt;Ref_ID&gt;21597&lt;/Ref_ID&gt;&lt;Title_Primary&gt;&lt;f name="Times New Roman"&gt;Nutrient patterns and brain biomarkers of Alzheimer&amp;apos;s disease in cognitively normal individuals&lt;/f&gt;&lt;/Title_Primary&gt;&lt;Authors_Primary&gt;Berti,V.&lt;/Authors_Primary&gt;&lt;Authors_Primary&gt;Murray,J.&lt;/Authors_Primary&gt;&lt;Authors_Primary&gt;Davies,M.&lt;/Authors_Primary&gt;&lt;Authors_Primary&gt;Spector,N.&lt;/Authors_Primary&gt;&lt;Authors_Primary&gt;Tsui,W.H.&lt;/Authors_Primary&gt;&lt;Authors_Primary&gt;Li,Y.&lt;/Authors_Primary&gt;&lt;Authors_Primary&gt;Williams,S.&lt;/Authors_Primary&gt;&lt;Authors_Primary&gt;Pirraglia,E.&lt;/Authors_Primary&gt;&lt;Authors_Primary&gt;Vallabhajosula,S.&lt;/Authors_Primary&gt;&lt;Authors_Primary&gt;McHugh,P.&lt;/Authors_Primary&gt;&lt;Authors_Primary&gt;Pupi,A.&lt;/Authors_Primary&gt;&lt;Authors_Primary&gt;de Leon,M.J.&lt;/Authors_Primary&gt;&lt;Authors_Primary&gt;Mosconi,L.&lt;/Authors_Primary&gt;&lt;Date_Primary&gt;2015/4/19&lt;/Date_Primary&gt;&lt;Keywords&gt;and&lt;/Keywords&gt;&lt;Keywords&gt;Brain&lt;/Keywords&gt;&lt;Keywords&gt;biomarker&lt;/Keywords&gt;&lt;Keywords&gt;of&lt;/Keywords&gt;&lt;Keywords&gt;Alzheimer&amp;apos;s disease&lt;/Keywords&gt;&lt;Keywords&gt;Disease&lt;/Keywords&gt;&lt;Reprint&gt;Not in File&lt;/Reprint&gt;&lt;Start_Page&gt;413&lt;/Start_Page&gt;&lt;End_Page&gt;423&lt;/End_Page&gt;&lt;Periodical&gt;J Nutr Health Aging&lt;/Periodical&gt;&lt;Volume&gt;19&lt;/Volume&gt;&lt;Issue&gt;4&lt;/Issue&gt;&lt;ZZ_JournalFull&gt;&lt;f name="System"&gt;J Nutr Health Aging&lt;/f&gt;&lt;/ZZ_JournalFull&gt;&lt;ZZ_WorkformID&gt;1&lt;/ZZ_WorkformID&gt;&lt;/MDL&gt;&lt;/Cite&gt;&lt;/Refman&gt;</w:instrText>
      </w:r>
      <w:r w:rsidR="00CB6193">
        <w:fldChar w:fldCharType="separate"/>
      </w:r>
      <w:r w:rsidR="00547674">
        <w:rPr>
          <w:noProof/>
        </w:rPr>
        <w:t>(23)</w:t>
      </w:r>
      <w:r w:rsidR="00CB6193">
        <w:fldChar w:fldCharType="end"/>
      </w:r>
      <w:r w:rsidR="004366A6">
        <w:t>.</w:t>
      </w:r>
      <w:r w:rsidR="00441817">
        <w:t xml:space="preserve"> </w:t>
      </w:r>
    </w:p>
    <w:p w14:paraId="3E4ACD77" w14:textId="77777777" w:rsidR="00741E17" w:rsidRDefault="00741E17" w:rsidP="00CC4148">
      <w:pPr>
        <w:spacing w:before="120" w:after="120" w:line="360" w:lineRule="auto"/>
        <w:jc w:val="both"/>
      </w:pPr>
    </w:p>
    <w:p w14:paraId="30125791" w14:textId="0E88B752" w:rsidR="00CC4148" w:rsidRDefault="00441817" w:rsidP="00CC4148">
      <w:pPr>
        <w:spacing w:before="120" w:after="120" w:line="360" w:lineRule="auto"/>
        <w:jc w:val="both"/>
      </w:pPr>
      <w:r w:rsidRPr="00E83EE5">
        <w:t xml:space="preserve">It is of course difficult to </w:t>
      </w:r>
      <w:r w:rsidR="00937F64" w:rsidRPr="00E83EE5">
        <w:t xml:space="preserve">disentangle </w:t>
      </w:r>
      <w:r w:rsidRPr="00E83EE5">
        <w:t xml:space="preserve">the absolute effect of iodine as </w:t>
      </w:r>
      <w:r w:rsidR="00937F64" w:rsidRPr="00E83EE5">
        <w:t xml:space="preserve">it is </w:t>
      </w:r>
      <w:r w:rsidRPr="00E83EE5">
        <w:t xml:space="preserve">one of several nutrients supporting brain health, in particular long chain </w:t>
      </w:r>
      <w:r w:rsidR="006A725E" w:rsidRPr="00E83EE5">
        <w:t xml:space="preserve">polyunsaturated </w:t>
      </w:r>
      <w:r w:rsidRPr="00E83EE5">
        <w:t>fatty acids</w:t>
      </w:r>
      <w:r w:rsidR="006A725E" w:rsidRPr="00E83EE5">
        <w:t xml:space="preserve"> (LC PUFA)</w:t>
      </w:r>
      <w:r w:rsidRPr="00E83EE5">
        <w:t>.</w:t>
      </w:r>
      <w:r w:rsidR="00D40A84" w:rsidRPr="00E83EE5">
        <w:t xml:space="preserve"> </w:t>
      </w:r>
      <w:r w:rsidR="006A725E" w:rsidRPr="00E83EE5">
        <w:t>Several fatty acid desaturase genotypes have been found associated with erythrocyte membrane</w:t>
      </w:r>
      <w:r w:rsidR="001F4300" w:rsidRPr="00E83EE5">
        <w:t xml:space="preserve"> LC PUFA levels in patients with mild cognitive impairment</w:t>
      </w:r>
      <w:r w:rsidR="001F4300" w:rsidRPr="00E83EE5">
        <w:fldChar w:fldCharType="begin"/>
      </w:r>
      <w:r w:rsidR="001544FE" w:rsidRPr="00E83EE5">
        <w:instrText xml:space="preserve"> ADDIN REFMGR.CITE &lt;Refman&gt;&lt;Cite&gt;&lt;Author&gt;Schuchardt&lt;/Author&gt;&lt;Year&gt;2016&lt;/Year&gt;&lt;RecNum&gt;21712&lt;/RecNum&gt;&lt;IDText&gt;Genetic Variants of the FADS Gene Cluster Are Associated with Erythrocyte Membrane LC PUFA Levels in Patients with Mild Cognitive Impairment&lt;/IDText&gt;&lt;MDL Ref_Type="Journal"&gt;&lt;Ref_Type&gt;Journal&lt;/Ref_Type&gt;&lt;Ref_ID&gt;21712&lt;/Ref_ID&gt;&lt;Title_Primary&gt;Genetic Variants of the FADS Gene Cluster Are Associated with Erythrocyte Membrane LC PUFA Levels in Patients with Mild Cognitive Impairment&lt;/Title_Primary&gt;&lt;Authors_Primary&gt;Schuchardt,J.P.&lt;/Authors_Primary&gt;&lt;Authors_Primary&gt;Kobe,T.&lt;/Authors_Primary&gt;&lt;Authors_Primary&gt;Witte,V.&lt;/Authors_Primary&gt;&lt;Authors_Primary&gt;Willers,J.&lt;/Authors_Primary&gt;&lt;Authors_Primary&gt;Gingrich,A.&lt;/Authors_Primary&gt;&lt;Authors_Primary&gt;Tesky,V.&lt;/Authors_Primary&gt;&lt;Authors_Primary&gt;pantel,J.&lt;/Authors_Primary&gt;&lt;Authors_Primary&gt;Rujescu,D.&lt;/Authors_Primary&gt;&lt;Authors_Primary&gt;Illig,T.&lt;/Authors_Primary&gt;&lt;Authors_Primary&gt;Floel,A.&lt;/Authors_Primary&gt;&lt;Authors_Primary&gt;Hahn,A.&lt;/Authors_Primary&gt;&lt;Date_Primary&gt;2016/1/1&lt;/Date_Primary&gt;&lt;Keywords&gt;of&lt;/Keywords&gt;&lt;Keywords&gt;GENE&lt;/Keywords&gt;&lt;Keywords&gt;Patients&lt;/Keywords&gt;&lt;Keywords&gt;Patient&lt;/Keywords&gt;&lt;Keywords&gt;MILD COGNITIVE IMPAIRMENT&lt;/Keywords&gt;&lt;Keywords&gt;COGNITIVE IMPAIRMENT&lt;/Keywords&gt;&lt;Reprint&gt;Not in File&lt;/Reprint&gt;&lt;Start_Page&gt;611&lt;/Start_Page&gt;&lt;End_Page&gt;620&lt;/End_Page&gt;&lt;Periodical&gt;J Nutr Health Aging&lt;/Periodical&gt;&lt;Volume&gt;20&lt;/Volume&gt;&lt;Issue&gt;6&lt;/Issue&gt;&lt;ZZ_JournalFull&gt;&lt;f name="System"&gt;J Nutr Health Aging&lt;/f&gt;&lt;/ZZ_JournalFull&gt;&lt;ZZ_WorkformID&gt;1&lt;/ZZ_WorkformID&gt;&lt;/MDL&gt;&lt;/Cite&gt;&lt;/Refman&gt;</w:instrText>
      </w:r>
      <w:r w:rsidR="001F4300" w:rsidRPr="00E83EE5">
        <w:fldChar w:fldCharType="separate"/>
      </w:r>
      <w:r w:rsidR="00547674" w:rsidRPr="00E83EE5">
        <w:rPr>
          <w:noProof/>
        </w:rPr>
        <w:t>(24)</w:t>
      </w:r>
      <w:r w:rsidR="001F4300" w:rsidRPr="00E83EE5">
        <w:fldChar w:fldCharType="end"/>
      </w:r>
      <w:r w:rsidR="001F4300" w:rsidRPr="00E83EE5">
        <w:t>.</w:t>
      </w:r>
      <w:r w:rsidR="006A725E" w:rsidRPr="00E83EE5">
        <w:t xml:space="preserve"> </w:t>
      </w:r>
      <w:r w:rsidR="00D40A84" w:rsidRPr="00E83EE5">
        <w:t>On the other hand, the subsample analysed</w:t>
      </w:r>
      <w:r w:rsidR="00D40A84">
        <w:t xml:space="preserve"> represents </w:t>
      </w:r>
      <w:r w:rsidR="00D40A84">
        <w:lastRenderedPageBreak/>
        <w:t xml:space="preserve">only 21.4% of the total number of study participants that provided dietary data, not being representative of the </w:t>
      </w:r>
      <w:r w:rsidR="008530C2">
        <w:t>whole cohort.</w:t>
      </w:r>
      <w:r w:rsidR="00093D22" w:rsidRPr="00093D22">
        <w:t xml:space="preserve"> </w:t>
      </w:r>
      <w:r w:rsidR="00671FCA">
        <w:t xml:space="preserve">Nevertheless, by analysing only the subsample indicative of a stable </w:t>
      </w:r>
      <w:r w:rsidR="00671FCA" w:rsidRPr="00E83EE5">
        <w:t xml:space="preserve">trait on iodine consumption, this study partly overcomes the measurement error resulting from self-rated dietary information known to be sub-optimally associated with iodine sufficiency. </w:t>
      </w:r>
      <w:r w:rsidR="00093D22" w:rsidRPr="00E83EE5">
        <w:t>The cohort reported rather homogeneous, high iodine intake compared to that of younger British women</w:t>
      </w:r>
      <w:r w:rsidR="00093D22" w:rsidRPr="00E83EE5">
        <w:fldChar w:fldCharType="begin"/>
      </w:r>
      <w:r w:rsidR="001544FE" w:rsidRPr="00E83EE5">
        <w:instrText xml:space="preserve"> ADDIN REFMGR.CITE &lt;Refman&gt;&lt;Cite&gt;&lt;Author&gt;Combet&lt;/Author&gt;&lt;Year&gt;2015&lt;/Year&gt;&lt;RecNum&gt;21589&lt;/RecNum&gt;&lt;IDText&gt;Iodine and pregnancy - a UK cross-sectional survey of dietary intake, knowledge and awareness&lt;/IDText&gt;&lt;MDL Ref_Type="Journal"&gt;&lt;Ref_Type&gt;Journal&lt;/Ref_Type&gt;&lt;Ref_ID&gt;21589&lt;/Ref_ID&gt;&lt;Title_Primary&gt;&lt;f name="Times New Roman"&gt;Iodine and pregnancy - a UK cross-sectional survey of dietary intake, knowledge and awareness&lt;/f&gt;&lt;/Title_Primary&gt;&lt;Authors_Primary&gt;Combet,E.&lt;/Authors_Primary&gt;&lt;Authors_Primary&gt;Bouga,M.&lt;/Authors_Primary&gt;&lt;Authors_Primary&gt;Pan,B.&lt;/Authors_Primary&gt;&lt;Authors_Primary&gt;Lean,M.E.&lt;/Authors_Primary&gt;&lt;Authors_Primary&gt;Christopher,C.O.&lt;/Authors_Primary&gt;&lt;Date_Primary&gt;2015/7/14&lt;/Date_Primary&gt;&lt;Keywords&gt;and&lt;/Keywords&gt;&lt;Keywords&gt;Pregnancy&lt;/Keywords&gt;&lt;Keywords&gt;of&lt;/Keywords&gt;&lt;Keywords&gt;dietary&lt;/Keywords&gt;&lt;Reprint&gt;Not in File&lt;/Reprint&gt;&lt;Start_Page&gt;108&lt;/Start_Page&gt;&lt;End_Page&gt;117&lt;/End_Page&gt;&lt;Periodical&gt;Br J Nutr&lt;/Periodical&gt;&lt;Volume&gt;114&lt;/Volume&gt;&lt;Issue&gt;1&lt;/Issue&gt;&lt;ZZ_JournalFull&gt;&lt;f name="System"&gt;Br J Nutr&lt;/f&gt;&lt;/ZZ_JournalFull&gt;&lt;ZZ_WorkformID&gt;1&lt;/ZZ_WorkformID&gt;&lt;/MDL&gt;&lt;/Cite&gt;&lt;/Refman&gt;</w:instrText>
      </w:r>
      <w:r w:rsidR="00093D22" w:rsidRPr="00E83EE5">
        <w:fldChar w:fldCharType="separate"/>
      </w:r>
      <w:r w:rsidR="003C07F6" w:rsidRPr="00E83EE5">
        <w:rPr>
          <w:noProof/>
        </w:rPr>
        <w:t>(6)</w:t>
      </w:r>
      <w:r w:rsidR="00093D22" w:rsidRPr="00E83EE5">
        <w:fldChar w:fldCharType="end"/>
      </w:r>
      <w:r w:rsidR="00093D22" w:rsidRPr="00E83EE5">
        <w:t>, and contemporaries in Brazil</w:t>
      </w:r>
      <w:r w:rsidR="00093D22" w:rsidRPr="00E83EE5">
        <w:fldChar w:fldCharType="begin"/>
      </w:r>
      <w:r w:rsidR="001544FE" w:rsidRPr="00E83EE5">
        <w:instrText xml:space="preserve"> ADDIN REFMGR.CITE &lt;Refman&gt;&lt;Cite&gt;&lt;Author&gt;Destefani&lt;/Author&gt;&lt;Year&gt;2015&lt;/Year&gt;&lt;RecNum&gt;21598&lt;/RecNum&gt;&lt;IDText&gt;Prevalence of iodine intake inadequacy in elderly Brazilian women. A cross-sectional study&lt;/IDText&gt;&lt;MDL Ref_Type="Journal"&gt;&lt;Ref_Type&gt;Journal&lt;/Ref_Type&gt;&lt;Ref_ID&gt;21598&lt;/Ref_ID&gt;&lt;Title_Primary&gt;&lt;f name="Times New Roman"&gt;Prevalence of iodine intake inadequacy in elderly Brazilian women. A cross-sectional study&lt;/f&gt;&lt;/Title_Primary&gt;&lt;Authors_Primary&gt;Destefani,S.A.&lt;/Authors_Primary&gt;&lt;Authors_Primary&gt;Corrente,J.E.&lt;/Authors_Primary&gt;&lt;Authors_Primary&gt;Paiva,S.A.&lt;/Authors_Primary&gt;&lt;Authors_Primary&gt;Mazeto,G.M.&lt;/Authors_Primary&gt;&lt;Date_Primary&gt;2015/2/1&lt;/Date_Primary&gt;&lt;Keywords&gt;Prevalence&lt;/Keywords&gt;&lt;Keywords&gt;of&lt;/Keywords&gt;&lt;Keywords&gt;elderly&lt;/Keywords&gt;&lt;Keywords&gt;Women&lt;/Keywords&gt;&lt;Reprint&gt;Not in File&lt;/Reprint&gt;&lt;Start_Page&gt;137&lt;/Start_Page&gt;&lt;End_Page&gt;140&lt;/End_Page&gt;&lt;Periodical&gt;J Nutr Health Aging&lt;/Periodical&gt;&lt;Volume&gt;19&lt;/Volume&gt;&lt;Issue&gt;2&lt;/Issue&gt;&lt;ZZ_JournalFull&gt;&lt;f name="System"&gt;J Nutr Health Aging&lt;/f&gt;&lt;/ZZ_JournalFull&gt;&lt;ZZ_WorkformID&gt;1&lt;/ZZ_WorkformID&gt;&lt;/MDL&gt;&lt;/Cite&gt;&lt;/Refman&gt;</w:instrText>
      </w:r>
      <w:r w:rsidR="00093D22" w:rsidRPr="00E83EE5">
        <w:fldChar w:fldCharType="separate"/>
      </w:r>
      <w:r w:rsidR="00547674" w:rsidRPr="00E83EE5">
        <w:rPr>
          <w:noProof/>
        </w:rPr>
        <w:t>(21)</w:t>
      </w:r>
      <w:r w:rsidR="00093D22" w:rsidRPr="00E83EE5">
        <w:fldChar w:fldCharType="end"/>
      </w:r>
      <w:r w:rsidR="00093D22" w:rsidRPr="00E83EE5">
        <w:t>.</w:t>
      </w:r>
    </w:p>
    <w:p w14:paraId="5816FF02" w14:textId="77777777" w:rsidR="001C624B" w:rsidRDefault="001C624B" w:rsidP="00CC4148">
      <w:pPr>
        <w:spacing w:before="120" w:after="120" w:line="360" w:lineRule="auto"/>
        <w:jc w:val="both"/>
      </w:pPr>
    </w:p>
    <w:p w14:paraId="00D55EC3" w14:textId="3663D749" w:rsidR="00093D22" w:rsidRDefault="00C87F58" w:rsidP="00CC4148">
      <w:pPr>
        <w:spacing w:before="120" w:after="120" w:line="360" w:lineRule="auto"/>
        <w:jc w:val="both"/>
      </w:pPr>
      <w:r>
        <w:t>A key challenge is the characterisation of lifelong exposure to iodine as a nutrient, since most retrospective dietary assessment tools will provide insight only on the preceding few months of intake, like the one used in this study. To the best of our knowledge, there are only two dietary questionnaires focusing on iodine intake specifically, one developed in younger UK female adults</w:t>
      </w:r>
      <w:r>
        <w:fldChar w:fldCharType="begin"/>
      </w:r>
      <w:r w:rsidR="001544FE">
        <w:instrText xml:space="preserve"> ADDIN REFMGR.CITE &lt;Refman&gt;&lt;Cite&gt;&lt;Author&gt;Combet&lt;/Author&gt;&lt;Year&gt;2014&lt;/Year&gt;&lt;RecNum&gt;21593&lt;/RecNum&gt;&lt;IDText&gt;Validation of a short food frequency questionnaire specific for iodine in UK females of childbearing age&lt;/IDText&gt;&lt;MDL Ref_Type="Journal"&gt;&lt;Ref_Type&gt;Journal&lt;/Ref_Type&gt;&lt;Ref_ID&gt;21593&lt;/Ref_ID&gt;&lt;Title_Primary&gt;&lt;f name="Times New Roman"&gt;Validation of a short food frequency questionnaire specific for iodine in UK females of childbearing age&lt;/f&gt;&lt;/Title_Primary&gt;&lt;Authors_Primary&gt;Combet,E.&lt;/Authors_Primary&gt;&lt;Authors_Primary&gt;Lean,M.E.J.&lt;/Authors_Primary&gt;&lt;Date_Primary&gt;2014/12&lt;/Date_Primary&gt;&lt;Keywords&gt;VALIDATION&lt;/Keywords&gt;&lt;Keywords&gt;of&lt;/Keywords&gt;&lt;Keywords&gt;Food&lt;/Keywords&gt;&lt;Keywords&gt;Female&lt;/Keywords&gt;&lt;Reprint&gt;Not in File&lt;/Reprint&gt;&lt;Start_Page&gt;599&lt;/Start_Page&gt;&lt;End_Page&gt;605&lt;/End_Page&gt;&lt;Periodical&gt;J Hum Nutr Diet&lt;/Periodical&gt;&lt;Volume&gt;27&lt;/Volume&gt;&lt;Issue&gt;6&lt;/Issue&gt;&lt;ZZ_JournalFull&gt;&lt;f name="System"&gt;J Hum Nutr Diet&lt;/f&gt;&lt;/ZZ_JournalFull&gt;&lt;ZZ_WorkformID&gt;1&lt;/ZZ_WorkformID&gt;&lt;/MDL&gt;&lt;/Cite&gt;&lt;/Refman&gt;</w:instrText>
      </w:r>
      <w:r>
        <w:fldChar w:fldCharType="separate"/>
      </w:r>
      <w:r w:rsidR="00547674">
        <w:rPr>
          <w:noProof/>
        </w:rPr>
        <w:t>(25)</w:t>
      </w:r>
      <w:r>
        <w:fldChar w:fldCharType="end"/>
      </w:r>
      <w:r>
        <w:t>, and the other in older Australian adults</w:t>
      </w:r>
      <w:r>
        <w:fldChar w:fldCharType="begin"/>
      </w:r>
      <w:r w:rsidR="001544FE">
        <w:instrText xml:space="preserve"> ADDIN REFMGR.CITE &lt;Refman&gt;&lt;Cite&gt;&lt;Author&gt;Tan&lt;/Author&gt;&lt;Year&gt;2013&lt;/Year&gt;&lt;RecNum&gt;21595&lt;/RecNum&gt;&lt;IDText&gt;Validity and reproducibility of an iodine-specific food frequency questionnaire to estimate dietary iodine intake in older Australians&lt;/IDText&gt;&lt;MDL Ref_Type="Journal"&gt;&lt;Ref_Type&gt;Journal&lt;/Ref_Type&gt;&lt;Ref_ID&gt;21595&lt;/Ref_ID&gt;&lt;Title_Primary&gt;&lt;f name="Times New Roman"&gt;Validity and reproducibility of an iodine-specific food frequency questionnaire to estimate dietary iodine intake in older Australians&lt;/f&gt;&lt;/Title_Primary&gt;&lt;Authors_Primary&gt;Tan,L.M.&lt;/Authors_Primary&gt;&lt;Authors_Primary&gt;Charlton,K.E.&lt;/Authors_Primary&gt;&lt;Authors_Primary&gt;Tan,S.Y.&lt;/Authors_Primary&gt;&lt;Authors_Primary&gt;Ma,G.&lt;/Authors_Primary&gt;&lt;Authors_Primary&gt;Batterham,M.&lt;/Authors_Primary&gt;&lt;Date_Primary&gt;2013/3&lt;/Date_Primary&gt;&lt;Keywords&gt;and&lt;/Keywords&gt;&lt;Keywords&gt;of&lt;/Keywords&gt;&lt;Keywords&gt;Food&lt;/Keywords&gt;&lt;Keywords&gt;dietary&lt;/Keywords&gt;&lt;Reprint&gt;Not in File&lt;/Reprint&gt;&lt;Start_Page&gt;71&lt;/Start_Page&gt;&lt;End_Page&gt;78&lt;/End_Page&gt;&lt;Periodical&gt;Nutr Diet&lt;/Periodical&gt;&lt;Volume&gt;70&lt;/Volume&gt;&lt;Issue&gt;1&lt;/Issue&gt;&lt;ZZ_JournalFull&gt;&lt;f name="System"&gt;Nutr Diet&lt;/f&gt;&lt;/ZZ_JournalFull&gt;&lt;ZZ_WorkformID&gt;1&lt;/ZZ_WorkformID&gt;&lt;/MDL&gt;&lt;/Cite&gt;&lt;/Refman&gt;</w:instrText>
      </w:r>
      <w:r>
        <w:fldChar w:fldCharType="separate"/>
      </w:r>
      <w:r w:rsidR="00547674">
        <w:rPr>
          <w:noProof/>
        </w:rPr>
        <w:t>(26)</w:t>
      </w:r>
      <w:r>
        <w:fldChar w:fldCharType="end"/>
      </w:r>
      <w:r>
        <w:t xml:space="preserve">. </w:t>
      </w:r>
      <w:r w:rsidR="008530C2">
        <w:t>T</w:t>
      </w:r>
      <w:r>
        <w:t>hey also provide insight on the intake only on the months preceding their application, rather than intake throughout life.</w:t>
      </w:r>
      <w:r w:rsidR="00093D22" w:rsidRPr="00093D22">
        <w:t xml:space="preserve"> While sea fish would have always represented a rich source of iodine, the same cannot be said for dairy. Dairy iodine levels have fluctuated over the years, depending mostly on farming practice – initially very low, levels steadily increased from the late 1920s to the late 1990s (through cattle feeds and </w:t>
      </w:r>
      <w:proofErr w:type="spellStart"/>
      <w:r w:rsidR="00093D22" w:rsidRPr="00093D22">
        <w:t>iodophores</w:t>
      </w:r>
      <w:proofErr w:type="spellEnd"/>
      <w:r w:rsidR="00093D22" w:rsidRPr="00093D22">
        <w:t xml:space="preserve"> usage in the milking industry), before introduction of regulatory changes stemming the use of </w:t>
      </w:r>
      <w:proofErr w:type="spellStart"/>
      <w:r w:rsidR="00093D22" w:rsidRPr="00093D22">
        <w:t>iodophores</w:t>
      </w:r>
      <w:proofErr w:type="spellEnd"/>
      <w:r w:rsidR="00093D22" w:rsidRPr="00093D22">
        <w:fldChar w:fldCharType="begin"/>
      </w:r>
      <w:r w:rsidR="001544FE">
        <w:instrText xml:space="preserve"> ADDIN REFMGR.CITE &lt;Refman&gt;&lt;Cite&gt;&lt;Author&gt;Phillips&lt;/Author&gt;&lt;Year&gt;1997&lt;/Year&gt;&lt;RecNum&gt;21599&lt;/RecNum&gt;&lt;IDText&gt;Iodine, milk, and the elimination of endemic goitre in Britain: the story of an accidental public health triumph&lt;/IDText&gt;&lt;MDL Ref_Type="Journal"&gt;&lt;Ref_Type&gt;Journal&lt;/Ref_Type&gt;&lt;Ref_ID&gt;21599&lt;/Ref_ID&gt;&lt;Title_Primary&gt;Iodine, milk, and the elimination of endemic goitre in Britain: the story of an accidental public health triumph&lt;/Title_Primary&gt;&lt;Authors_Primary&gt;Phillips,D.I.&lt;/Authors_Primary&gt;&lt;Date_Primary&gt;1997&lt;/Date_Primary&gt;&lt;Keywords&gt;and&lt;/Keywords&gt;&lt;Keywords&gt;of&lt;/Keywords&gt;&lt;Keywords&gt;Public Health&lt;/Keywords&gt;&lt;Keywords&gt;Health&lt;/Keywords&gt;&lt;Reprint&gt;Not in File&lt;/Reprint&gt;&lt;Start_Page&gt;391&lt;/Start_Page&gt;&lt;End_Page&gt;393&lt;/End_Page&gt;&lt;Periodical&gt;J Epidemiol Community Health&lt;/Periodical&gt;&lt;Volume&gt;51&lt;/Volume&gt;&lt;Issue&gt;4&lt;/Issue&gt;&lt;ZZ_JournalFull&gt;&lt;f name="System"&gt;J Epidemiol Community Health&lt;/f&gt;&lt;/ZZ_JournalFull&gt;&lt;ZZ_WorkformID&gt;1&lt;/ZZ_WorkformID&gt;&lt;/MDL&gt;&lt;/Cite&gt;&lt;/Refman&gt;</w:instrText>
      </w:r>
      <w:r w:rsidR="00093D22" w:rsidRPr="00093D22">
        <w:fldChar w:fldCharType="separate"/>
      </w:r>
      <w:r w:rsidR="00547674">
        <w:rPr>
          <w:noProof/>
        </w:rPr>
        <w:t>(27)</w:t>
      </w:r>
      <w:r w:rsidR="00093D22" w:rsidRPr="00093D22">
        <w:fldChar w:fldCharType="end"/>
      </w:r>
      <w:r w:rsidR="00093D22" w:rsidRPr="00093D22">
        <w:t>. The reported three-fold increase in iodine intake between 1952 and 1982, from 80ug/day to 255ug/day</w:t>
      </w:r>
      <w:r w:rsidR="00093D22" w:rsidRPr="00093D22">
        <w:fldChar w:fldCharType="begin"/>
      </w:r>
      <w:r w:rsidR="001544FE">
        <w:instrText xml:space="preserve"> ADDIN REFMGR.CITE &lt;Refman&gt;&lt;Cite&gt;&lt;Author&gt;Phillips&lt;/Author&gt;&lt;Year&gt;1997&lt;/Year&gt;&lt;RecNum&gt;21599&lt;/RecNum&gt;&lt;IDText&gt;Iodine, milk, and the elimination of endemic goitre in Britain: the story of an accidental public health triumph&lt;/IDText&gt;&lt;MDL Ref_Type="Journal"&gt;&lt;Ref_Type&gt;Journal&lt;/Ref_Type&gt;&lt;Ref_ID&gt;21599&lt;/Ref_ID&gt;&lt;Title_Primary&gt;Iodine, milk, and the elimination of endemic goitre in Britain: the story of an accidental public health triumph&lt;/Title_Primary&gt;&lt;Authors_Primary&gt;Phillips,D.I.&lt;/Authors_Primary&gt;&lt;Date_Primary&gt;1997&lt;/Date_Primary&gt;&lt;Keywords&gt;and&lt;/Keywords&gt;&lt;Keywords&gt;of&lt;/Keywords&gt;&lt;Keywords&gt;Public Health&lt;/Keywords&gt;&lt;Keywords&gt;Health&lt;/Keywords&gt;&lt;Reprint&gt;Not in File&lt;/Reprint&gt;&lt;Start_Page&gt;391&lt;/Start_Page&gt;&lt;End_Page&gt;393&lt;/End_Page&gt;&lt;Periodical&gt;J Epidemiol Community Health&lt;/Periodical&gt;&lt;Volume&gt;51&lt;/Volume&gt;&lt;Issue&gt;4&lt;/Issue&gt;&lt;ZZ_JournalFull&gt;&lt;f name="System"&gt;J Epidemiol Community Health&lt;/f&gt;&lt;/ZZ_JournalFull&gt;&lt;ZZ_WorkformID&gt;1&lt;/ZZ_WorkformID&gt;&lt;/MDL&gt;&lt;/Cite&gt;&lt;/Refman&gt;</w:instrText>
      </w:r>
      <w:r w:rsidR="00093D22" w:rsidRPr="00093D22">
        <w:fldChar w:fldCharType="separate"/>
      </w:r>
      <w:r w:rsidR="00547674">
        <w:rPr>
          <w:noProof/>
        </w:rPr>
        <w:t>(27)</w:t>
      </w:r>
      <w:r w:rsidR="00093D22" w:rsidRPr="00093D22">
        <w:fldChar w:fldCharType="end"/>
      </w:r>
      <w:r w:rsidR="00093D22" w:rsidRPr="00093D22">
        <w:t xml:space="preserve"> would have been relevant to this cohort, making the lifelong estimation of iodine intake even more challenging.</w:t>
      </w:r>
      <w:r w:rsidR="00741E17">
        <w:t xml:space="preserve"> </w:t>
      </w:r>
      <w:r w:rsidR="002E721C">
        <w:t xml:space="preserve">The time between the collection of the dietary data and the MRI scans and cognitive tests </w:t>
      </w:r>
      <w:r w:rsidR="00937F64">
        <w:t xml:space="preserve">(3 years) </w:t>
      </w:r>
      <w:r w:rsidR="002E721C">
        <w:t xml:space="preserve">would have been a limitation of the study. However, </w:t>
      </w:r>
      <w:r w:rsidR="0038091D">
        <w:t xml:space="preserve">like in </w:t>
      </w:r>
      <w:r w:rsidR="002E721C">
        <w:t>previous analyses</w:t>
      </w:r>
      <w:r w:rsidR="0038091D" w:rsidRPr="0038091D">
        <w:t xml:space="preserve"> on this cohort </w:t>
      </w:r>
      <w:r w:rsidR="00CB6193" w:rsidRPr="0038091D">
        <w:fldChar w:fldCharType="begin"/>
      </w:r>
      <w:r w:rsidR="001544FE">
        <w:instrText xml:space="preserve"> ADDIN REFMGR.CITE &lt;Refman&gt;&lt;Cite&gt;&lt;Author&gt;Valdes-Hernandez&lt;/Author&gt;&lt;Year&gt;2014&lt;/Year&gt;&lt;RecNum&gt;20892&lt;/RecNum&gt;&lt;IDText&gt;Exploratory analysis of dietary intake and brain iron accumulation detected using magnetic resonance imaging in older individuals: the Lothian Birth Cohort 1936&lt;/IDText&gt;&lt;MDL Ref_Type="Journal"&gt;&lt;Ref_Type&gt;Journal&lt;/Ref_Type&gt;&lt;Ref_ID&gt;20892&lt;/Ref_ID&gt;&lt;Title_Primary&gt;&lt;f name="ArialUnicodeMS"&gt;Exploratory analysis of dietary intake and brain iron accumulation detected using magnetic resonance imaging in older individuals: the Lothian Birth Cohort 1936&lt;/f&gt;&lt;/Title_Primary&gt;&lt;Authors_Primary&gt;Valdes-Hernandez,M.C.&lt;/Authors_Primary&gt;&lt;Authors_Primary&gt;Allan,J.&lt;/Authors_Primary&gt;&lt;Authors_Primary&gt;Glatz,A.&lt;/Authors_Primary&gt;&lt;Authors_Primary&gt;Kyle,J.&lt;/Authors_Primary&gt;&lt;Authors_Primary&gt;Corley,J.&lt;/Authors_Primary&gt;&lt;Authors_Primary&gt;Brett,C.E.&lt;/Authors_Primary&gt;&lt;Authors_Primary&gt;Munoz Maniega,S.&lt;/Authors_Primary&gt;&lt;Authors_Primary&gt;Royle,N.A.&lt;/Authors_Primary&gt;&lt;Authors_Primary&gt;Bastin,M.E.&lt;/Authors_Primary&gt;&lt;Authors_Primary&gt;Starr,J.M.&lt;/Authors_Primary&gt;&lt;Authors_Primary&gt;Deary,I.J.&lt;/Authors_Primary&gt;&lt;Authors_Primary&gt;Wardlaw,J.M.&lt;/Authors_Primary&gt;&lt;Date_Primary&gt;2014&lt;/Date_Primary&gt;&lt;Keywords&gt;analysis&lt;/Keywords&gt;&lt;Keywords&gt;of&lt;/Keywords&gt;&lt;Keywords&gt;dietary&lt;/Keywords&gt;&lt;Keywords&gt;and&lt;/Keywords&gt;&lt;Keywords&gt;Brain&lt;/Keywords&gt;&lt;Keywords&gt;Iron&lt;/Keywords&gt;&lt;Keywords&gt;Magnetic Resonance&lt;/Keywords&gt;&lt;Keywords&gt;Magnetic Resonance Imaging&lt;/Keywords&gt;&lt;Keywords&gt;RESONANCE&lt;/Keywords&gt;&lt;Keywords&gt;imaging&lt;/Keywords&gt;&lt;Keywords&gt;INDIVIDUALS&lt;/Keywords&gt;&lt;Start_Page&gt;64&lt;/Start_Page&gt;&lt;End_Page&gt;69&lt;/End_Page&gt;&lt;Periodical&gt;J Nutr Health Aging&lt;/Periodical&gt;&lt;Volume&gt;19&lt;/Volume&gt;&lt;Misc_3&gt;10.1007/s12603-014-0523-3&lt;/Misc_3&gt;&lt;ZZ_JournalFull&gt;&lt;f name="System"&gt;J Nutr Health Aging&lt;/f&gt;&lt;/ZZ_JournalFull&gt;&lt;ZZ_WorkformID&gt;1&lt;/ZZ_WorkformID&gt;&lt;/MDL&gt;&lt;/Cite&gt;&lt;/Refman&gt;</w:instrText>
      </w:r>
      <w:r w:rsidR="00CB6193" w:rsidRPr="0038091D">
        <w:fldChar w:fldCharType="separate"/>
      </w:r>
      <w:r w:rsidR="00547674">
        <w:rPr>
          <w:noProof/>
        </w:rPr>
        <w:t>(9)</w:t>
      </w:r>
      <w:r w:rsidR="00CB6193" w:rsidRPr="0038091D">
        <w:fldChar w:fldCharType="end"/>
      </w:r>
      <w:r w:rsidR="0038091D">
        <w:t>,</w:t>
      </w:r>
      <w:r w:rsidR="002E721C">
        <w:t xml:space="preserve"> strong and significant associations between haematological parameters measured at</w:t>
      </w:r>
      <w:r w:rsidR="00B965E6">
        <w:t xml:space="preserve"> both waves, known to be related to the dietary parameters analysed (i.e. iodine intake levels in this case), </w:t>
      </w:r>
      <w:r w:rsidR="0038091D">
        <w:t>were observed</w:t>
      </w:r>
      <w:r w:rsidR="00937F64">
        <w:t xml:space="preserve"> suggesting the key measures were stable over time</w:t>
      </w:r>
      <w:r w:rsidR="002E721C">
        <w:t>.</w:t>
      </w:r>
      <w:r w:rsidR="0048574F">
        <w:t xml:space="preserve"> </w:t>
      </w:r>
    </w:p>
    <w:p w14:paraId="0114ECF1" w14:textId="77777777" w:rsidR="00093D22" w:rsidRDefault="00093D22" w:rsidP="00CC4148">
      <w:pPr>
        <w:spacing w:before="120" w:after="120" w:line="360" w:lineRule="auto"/>
        <w:jc w:val="both"/>
      </w:pPr>
    </w:p>
    <w:p w14:paraId="07385216" w14:textId="045A5EF0" w:rsidR="00315E77" w:rsidRPr="00E83EE5" w:rsidRDefault="00B66A6E" w:rsidP="00CC4148">
      <w:pPr>
        <w:spacing w:before="120" w:after="120" w:line="360" w:lineRule="auto"/>
        <w:jc w:val="both"/>
      </w:pPr>
      <w:r>
        <w:t xml:space="preserve">Lifelong cognitive abilities could </w:t>
      </w:r>
      <w:r w:rsidRPr="00B66A6E">
        <w:t>potential</w:t>
      </w:r>
      <w:r>
        <w:t>ly</w:t>
      </w:r>
      <w:r w:rsidRPr="00B66A6E">
        <w:t xml:space="preserve"> influence errors in dietary data</w:t>
      </w:r>
      <w:r>
        <w:t xml:space="preserve">, with </w:t>
      </w:r>
      <w:r w:rsidRPr="00B66A6E">
        <w:t>implications for epidemiological methodology in diet assessment</w:t>
      </w:r>
      <w:r w:rsidR="005D1BD8">
        <w:t xml:space="preserve"> and analysis</w:t>
      </w:r>
      <w:r w:rsidRPr="00B66A6E">
        <w:t xml:space="preserve"> methods </w:t>
      </w:r>
      <w:r w:rsidRPr="00B66A6E">
        <w:fldChar w:fldCharType="begin"/>
      </w:r>
      <w:r w:rsidR="001544FE">
        <w:instrText xml:space="preserve"> ADDIN REFMGR.CITE &lt;Refman&gt;&lt;Cite&gt;&lt;Author&gt;Zuniga&lt;/Author&gt;&lt;Year&gt;2015&lt;/Year&gt;&lt;RecNum&gt;21699&lt;/RecNum&gt;&lt;IDText&gt;Considerations in selection of diet assessment methods for examining the effect of nutrition on cognition&lt;/IDText&gt;&lt;MDL Ref_Type="Journal"&gt;&lt;Ref_Type&gt;Journal&lt;/Ref_Type&gt;&lt;Ref_ID&gt;21699&lt;/Ref_ID&gt;&lt;Title_Primary&gt;&lt;f name="Times New Roman"&gt;Considerations in selection of diet assessment methods for examining the effect of nutrition on cognition&lt;/f&gt;&lt;/Title_Primary&gt;&lt;Authors_Primary&gt;Zuniga,K.&lt;/Authors_Primary&gt;&lt;Authors_Primary&gt;McAuley,E.&lt;/Authors_Primary&gt;&lt;Date_Primary&gt;2015/3&lt;/Date_Primary&gt;&lt;Keywords&gt;of&lt;/Keywords&gt;&lt;Keywords&gt;Diet&lt;/Keywords&gt;&lt;Keywords&gt;methods&lt;/Keywords&gt;&lt;Keywords&gt;Nutrition&lt;/Keywords&gt;&lt;Reprint&gt;Not in File&lt;/Reprint&gt;&lt;Start_Page&gt;333&lt;/Start_Page&gt;&lt;End_Page&gt;340&lt;/End_Page&gt;&lt;Periodical&gt;J Nutr Health Aging&lt;/Periodical&gt;&lt;Volume&gt;19&lt;/Volume&gt;&lt;Issue&gt;3&lt;/Issue&gt;&lt;ZZ_JournalFull&gt;&lt;f name="System"&gt;J Nutr Health Aging&lt;/f&gt;&lt;/ZZ_JournalFull&gt;&lt;ZZ_WorkformID&gt;1&lt;/ZZ_WorkformID&gt;&lt;/MDL&gt;&lt;/Cite&gt;&lt;/Refman&gt;</w:instrText>
      </w:r>
      <w:r w:rsidRPr="00B66A6E">
        <w:fldChar w:fldCharType="separate"/>
      </w:r>
      <w:r w:rsidR="001F4300">
        <w:rPr>
          <w:noProof/>
        </w:rPr>
        <w:t>(28)</w:t>
      </w:r>
      <w:r w:rsidRPr="00B66A6E">
        <w:fldChar w:fldCharType="end"/>
      </w:r>
      <w:r w:rsidRPr="00B66A6E">
        <w:t xml:space="preserve">. </w:t>
      </w:r>
      <w:r>
        <w:t xml:space="preserve"> </w:t>
      </w:r>
      <w:r w:rsidR="00093D22" w:rsidRPr="00093D22">
        <w:t>Childhood IQ was not found to predict iodine intake levels at late adulthood in this cohort. However, in a cohort of more than 8000 individuals</w:t>
      </w:r>
      <w:r w:rsidR="00093D22" w:rsidRPr="00093D22">
        <w:fldChar w:fldCharType="begin">
          <w:fldData xml:space="preserve">PFJlZm1hbj48Q2l0ZT48QXV0aG9yPkJhdHR5PC9BdXRob3I+PFllYXI+MjAwNzwvWWVhcj48UmVj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</w:fldData>
        </w:fldChar>
      </w:r>
      <w:r w:rsidR="001544FE">
        <w:instrText xml:space="preserve"> ADDIN REFMGR.CITE </w:instrText>
      </w:r>
      <w:r w:rsidR="001544FE">
        <w:fldChar w:fldCharType="begin">
          <w:fldData xml:space="preserve">PFJlZm1hbj48Q2l0ZT48QXV0aG9yPkJhdHR5PC9BdXRob3I+PFllYXI+MjAwNzwvWWVhcj48UmVj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</w:fldData>
        </w:fldChar>
      </w:r>
      <w:r w:rsidR="001544FE">
        <w:instrText xml:space="preserve"> ADDIN EN.CITE.DATA </w:instrText>
      </w:r>
      <w:r w:rsidR="001544FE">
        <w:fldChar w:fldCharType="end"/>
      </w:r>
      <w:r w:rsidR="00093D22" w:rsidRPr="00093D22">
        <w:fldChar w:fldCharType="separate"/>
      </w:r>
      <w:r w:rsidR="001F4300">
        <w:rPr>
          <w:noProof/>
        </w:rPr>
        <w:t>(29)</w:t>
      </w:r>
      <w:r w:rsidR="00093D22" w:rsidRPr="00093D22">
        <w:fldChar w:fldCharType="end"/>
      </w:r>
      <w:r w:rsidR="00093D22" w:rsidRPr="00093D22">
        <w:t>, childhood IQ was associated with healthier dietary habits at mean age 30 years (e.g. consumption of fruit, vegetables (cooked and raw), wholemeal bread, poultry, fish, and foods fried in vegetable oil), indicating that perhaps the learning and reasoning abilities captured by the IQ tests could be important in the successful management of individuals’ dietary behaviour</w:t>
      </w:r>
      <w:r w:rsidR="00093D22" w:rsidRPr="00093D22">
        <w:fldChar w:fldCharType="begin">
          <w:fldData xml:space="preserve">PFJlZm1hbj48Q2l0ZT48QXV0aG9yPkJhdHR5PC9BdXRob3I+PFllYXI+MjAwNzwvWWVhcj48UmVj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</w:fldData>
        </w:fldChar>
      </w:r>
      <w:r w:rsidR="001544FE">
        <w:instrText xml:space="preserve"> ADDIN REFMGR.CITE </w:instrText>
      </w:r>
      <w:r w:rsidR="001544FE">
        <w:fldChar w:fldCharType="begin">
          <w:fldData xml:space="preserve">PFJlZm1hbj48Q2l0ZT48QXV0aG9yPkJhdHR5PC9BdXRob3I+PFllYXI+MjAwNzwvWWVhcj48UmVj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</w:fldData>
        </w:fldChar>
      </w:r>
      <w:r w:rsidR="001544FE">
        <w:instrText xml:space="preserve"> ADDIN EN.CITE.DATA </w:instrText>
      </w:r>
      <w:r w:rsidR="001544FE">
        <w:fldChar w:fldCharType="end"/>
      </w:r>
      <w:r w:rsidR="00093D22" w:rsidRPr="00093D22">
        <w:fldChar w:fldCharType="separate"/>
      </w:r>
      <w:r w:rsidR="001F4300">
        <w:rPr>
          <w:noProof/>
        </w:rPr>
        <w:t>(29)</w:t>
      </w:r>
      <w:r w:rsidR="00093D22" w:rsidRPr="00093D22">
        <w:fldChar w:fldCharType="end"/>
      </w:r>
      <w:r w:rsidR="00093D22" w:rsidRPr="00093D22">
        <w:t>.</w:t>
      </w:r>
      <w:r w:rsidR="00093D22">
        <w:t xml:space="preserve"> </w:t>
      </w:r>
      <w:r w:rsidR="000C4F11">
        <w:t>In term of iodine nutrition, a sizeable contribution to childhood IQ (which influences later life cognition), happens in the womb. This could not be evaluated</w:t>
      </w:r>
      <w:r w:rsidR="00A2608D">
        <w:t xml:space="preserve"> in this population. </w:t>
      </w:r>
      <w:r w:rsidR="00AF641D">
        <w:t xml:space="preserve">In the subsample </w:t>
      </w:r>
      <w:r w:rsidR="00AF641D">
        <w:lastRenderedPageBreak/>
        <w:t>described, most were euthyroid with very few cases of subclinical hy</w:t>
      </w:r>
      <w:r w:rsidR="00EB1BB5">
        <w:t>po</w:t>
      </w:r>
      <w:r w:rsidR="00AF641D">
        <w:t xml:space="preserve">thyroidism. As described by Booth et al, </w:t>
      </w:r>
      <w:r w:rsidR="008465C0">
        <w:t>thyroid function in euthyroid subjects was not associated with cognition in this group of older adults</w:t>
      </w:r>
      <w:r w:rsidR="00CB6193">
        <w:fldChar w:fldCharType="begin"/>
      </w:r>
      <w:r w:rsidR="001544FE">
        <w:instrText xml:space="preserve"> ADDIN REFMGR.CITE &lt;Refman&gt;&lt;Cite&gt;&lt;Author&gt;Booth&lt;/Author&gt;&lt;Year&gt;2013&lt;/Year&gt;&lt;RecNum&gt;21592&lt;/RecNum&gt;&lt;IDText&gt;Thyroid stimulating hormone, free thyroxine and cognitive ability in old age: The Lothian birth cohort study 1936&lt;/IDText&gt;&lt;MDL Ref_Type="Journal"&gt;&lt;Ref_Type&gt;Journal&lt;/Ref_Type&gt;&lt;Ref_ID&gt;21592&lt;/Ref_ID&gt;&lt;Title_Primary&gt;&lt;f name="Times New Roman"&gt;Thyroid stimulating hormone, free thyroxine and cognitive ability in old age: The Lothian birth cohort study 1936&lt;/f&gt;&lt;/Title_Primary&gt;&lt;Authors_Primary&gt;Booth,T.&lt;/Authors_Primary&gt;&lt;Authors_Primary&gt;Deary,I.J.&lt;/Authors_Primary&gt;&lt;Authors_Primary&gt;Starr,J.M.&lt;/Authors_Primary&gt;&lt;Date_Primary&gt;2013/4/1&lt;/Date_Primary&gt;&lt;Keywords&gt;and&lt;/Keywords&gt;&lt;Keywords&gt;cognitive abilities&lt;/Keywords&gt;&lt;Keywords&gt;AGE&lt;/Keywords&gt;&lt;Keywords&gt;Cohort Studies&lt;/Keywords&gt;&lt;Keywords&gt;Study&lt;/Keywords&gt;&lt;Reprint&gt;Not in File&lt;/Reprint&gt;&lt;Start_Page&gt;597&lt;/Start_Page&gt;&lt;End_Page&gt;601&lt;/End_Page&gt;&lt;Periodical&gt;Psychoneuroendocrinology&lt;/Periodical&gt;&lt;Volume&gt;38&lt;/Volume&gt;&lt;Issue&gt;4&lt;/Issue&gt;&lt;ZZ_JournalStdAbbrev&gt;&lt;f name="System"&gt;Psychoneuroendocrinology&lt;/f&gt;&lt;/ZZ_JournalStdAbbrev&gt;&lt;ZZ_WorkformID&gt;1&lt;/ZZ_WorkformID&gt;&lt;/MDL&gt;&lt;/Cite&gt;&lt;/Refman&gt;</w:instrText>
      </w:r>
      <w:r w:rsidR="00CB6193">
        <w:fldChar w:fldCharType="separate"/>
      </w:r>
      <w:r w:rsidR="00547674">
        <w:rPr>
          <w:noProof/>
        </w:rPr>
        <w:t>(18)</w:t>
      </w:r>
      <w:r w:rsidR="00CB6193">
        <w:fldChar w:fldCharType="end"/>
      </w:r>
      <w:r w:rsidR="008465C0">
        <w:t>, with associations between cognition and thyroid function previously established at clinical level of thyroid dysfunction</w:t>
      </w:r>
      <w:r w:rsidR="00CB6193">
        <w:fldChar w:fldCharType="begin"/>
      </w:r>
      <w:r w:rsidR="001544FE">
        <w:instrText xml:space="preserve"> ADDIN REFMGR.CITE &lt;Refman&gt;&lt;Cite&gt;&lt;Author&gt;Begin&lt;/Author&gt;&lt;Year&gt;2008&lt;/Year&gt;&lt;RecNum&gt;21600&lt;/RecNum&gt;&lt;IDText&gt;Thyroid Function and Cognition during Aging&lt;/IDText&gt;&lt;MDL Ref_Type="Journal"&gt;&lt;Ref_Type&gt;Journal&lt;/Ref_Type&gt;&lt;Ref_ID&gt;21600&lt;/Ref_ID&gt;&lt;Title_Primary&gt;&lt;f name="Times New Roman"&gt;Thyroid Function and Cognition during Aging&lt;/f&gt;&lt;/Title_Primary&gt;&lt;Authors_Primary&gt;Begin,M.E.&lt;/Authors_Primary&gt;&lt;Authors_Primary&gt;Langlois,M.F.&lt;/Authors_Primary&gt;&lt;Authors_Primary&gt;Lorrain,D.&lt;/Authors_Primary&gt;&lt;Authors_Primary&gt;Cunnane,S.C.&lt;/Authors_Primary&gt;&lt;Date_Primary&gt;2008/9/1&lt;/Date_Primary&gt;&lt;Keywords&gt;and&lt;/Keywords&gt;&lt;Keywords&gt;Cognition&lt;/Keywords&gt;&lt;Reprint&gt;Not in File&lt;/Reprint&gt;&lt;Periodical&gt;Curr Gerontol Geriatr Res&lt;/Periodical&gt;&lt;Volume&gt;474868&lt;/Volume&gt;&lt;ZZ_JournalFull&gt;&lt;f name="System"&gt;Curr Gerontol Geriatr Res&lt;/f&gt;&lt;/ZZ_JournalFull&gt;&lt;ZZ_WorkformID&gt;1&lt;/ZZ_WorkformID&gt;&lt;/MDL&gt;&lt;/Cite&gt;&lt;Cite&gt;&lt;Author&gt;St John&lt;/Author&gt;&lt;Year&gt;2009&lt;/Year&gt;&lt;RecNum&gt;21601&lt;/RecNum&gt;&lt;IDText&gt;Mildly elevated TSH and cognition in middle-aged and older adults&lt;/IDText&gt;&lt;MDL Ref_Type="Journal"&gt;&lt;Ref_Type&gt;Journal&lt;/Ref_Type&gt;&lt;Ref_ID&gt;21601&lt;/Ref_ID&gt;&lt;Title_Primary&gt;&lt;f name="Times New Roman"&gt;Mildly elevated TSH and cognition in middle-aged and older adults&lt;/f&gt;&lt;/Title_Primary&gt;&lt;Authors_Primary&gt;St John,J.A.&lt;/Authors_Primary&gt;&lt;Authors_Primary&gt;Henderson,V.W.&lt;/Authors_Primary&gt;&lt;Authors_Primary&gt;Gatto,N.M.&lt;/Authors_Primary&gt;&lt;Authors_Primary&gt;McCleary,C.A.&lt;/Authors_Primary&gt;&lt;Authors_Primary&gt;Spencer,C.A.&lt;/Authors_Primary&gt;&lt;Authors_Primary&gt;Hodis,H.N.&lt;/Authors_Primary&gt;&lt;Authors_Primary&gt;Mack,W.J.&lt;/Authors_Primary&gt;&lt;Date_Primary&gt;2009/2&lt;/Date_Primary&gt;&lt;Keywords&gt;and&lt;/Keywords&gt;&lt;Keywords&gt;Cognition&lt;/Keywords&gt;&lt;Keywords&gt;Middle Aged&lt;/Keywords&gt;&lt;Reprint&gt;Not in File&lt;/Reprint&gt;&lt;Start_Page&gt;111&lt;/Start_Page&gt;&lt;End_Page&gt;117&lt;/End_Page&gt;&lt;Periodical&gt;Thyroid&lt;/Periodical&gt;&lt;Volume&gt;19&lt;/Volume&gt;&lt;Issue&gt;2&lt;/Issue&gt;&lt;ZZ_JournalFull&gt;&lt;f name="System"&gt;Thyroid&lt;/f&gt;&lt;/ZZ_JournalFull&gt;&lt;ZZ_WorkformID&gt;1&lt;/ZZ_WorkformID&gt;&lt;/MDL&gt;&lt;/Cite&gt;&lt;/Refman&gt;</w:instrText>
      </w:r>
      <w:r w:rsidR="00CB6193">
        <w:fldChar w:fldCharType="separate"/>
      </w:r>
      <w:r w:rsidR="001F4300">
        <w:rPr>
          <w:noProof/>
        </w:rPr>
        <w:t>(30,31)</w:t>
      </w:r>
      <w:r w:rsidR="00CB6193">
        <w:fldChar w:fldCharType="end"/>
      </w:r>
      <w:r w:rsidR="00A2608D">
        <w:t xml:space="preserve">, </w:t>
      </w:r>
      <w:r w:rsidR="008465C0">
        <w:t xml:space="preserve">and not </w:t>
      </w:r>
      <w:r w:rsidR="008465C0" w:rsidRPr="00E83EE5">
        <w:t>at subclinical level</w:t>
      </w:r>
      <w:r w:rsidR="00CB6193" w:rsidRPr="00E83EE5">
        <w:fldChar w:fldCharType="begin"/>
      </w:r>
      <w:r w:rsidR="001544FE" w:rsidRPr="00E83EE5">
        <w:instrText xml:space="preserve"> ADDIN REFMGR.CITE &lt;Refman&gt;&lt;Cite&gt;&lt;Author&gt;Park&lt;/Author&gt;&lt;Year&gt;2010&lt;/Year&gt;&lt;RecNum&gt;21602&lt;/RecNum&gt;&lt;IDText&gt;Subclinical hypothyroidism (SCH) is not associated with metabolic derangement, cognitive impairment, depression or poor quality of life (QoL) in elderly subjects&lt;/IDText&gt;&lt;MDL Ref_Type="Journal"&gt;&lt;Ref_Type&gt;Journal&lt;/Ref_Type&gt;&lt;Ref_ID&gt;21602&lt;/Ref_ID&gt;&lt;Title_Primary&gt;&lt;f name="Times New Roman"&gt;Subclinical hypothyroidism (SCH) is not associated with metabolic derangement, cognitive impairment, depression or poor quality of life (QoL) in elderly subjects&lt;/f&gt;&lt;/Title_Primary&gt;&lt;Authors_Primary&gt;Park,Y.J.&lt;/Authors_Primary&gt;&lt;Authors_Primary&gt;Lee,E.J.&lt;/Authors_Primary&gt;&lt;Authors_Primary&gt;Lee,Y.J.&lt;/Authors_Primary&gt;&lt;Authors_Primary&gt;Choi,S.H.&lt;/Authors_Primary&gt;&lt;Authors_Primary&gt;Park,J.H.&lt;/Authors_Primary&gt;&lt;Authors_Primary&gt;Lee,S.B.&lt;/Authors_Primary&gt;&lt;Authors_Primary&gt;Lim,S.&lt;/Authors_Primary&gt;&lt;Authors_Primary&gt;Lee,W.W.&lt;/Authors_Primary&gt;&lt;Authors_Primary&gt;Jang,H.C.&lt;/Authors_Primary&gt;&lt;Authors_Primary&gt;Cho,B.Y.&lt;/Authors_Primary&gt;&lt;Authors_Primary&gt;Woo,J.I.&lt;/Authors_Primary&gt;&lt;Authors_Primary&gt;Kim,K.W.&lt;/Authors_Primary&gt;&lt;Date_Primary&gt;2010&lt;/Date_Primary&gt;&lt;Keywords&gt;COGNITIVE IMPAIRMENT&lt;/Keywords&gt;&lt;Keywords&gt;Depression&lt;/Keywords&gt;&lt;Keywords&gt;QUALITY&lt;/Keywords&gt;&lt;Keywords&gt;Quality of Life&lt;/Keywords&gt;&lt;Keywords&gt;QUALITY-OF-LIFE&lt;/Keywords&gt;&lt;Keywords&gt;of&lt;/Keywords&gt;&lt;Keywords&gt;elderly&lt;/Keywords&gt;&lt;Reprint&gt;Not in File&lt;/Reprint&gt;&lt;Start_Page&gt;e68&lt;/Start_Page&gt;&lt;End_Page&gt;e73&lt;/End_Page&gt;&lt;Periodical&gt;Arch Gerontol Geriatr&lt;/Periodical&gt;&lt;Volume&gt;50&lt;/Volume&gt;&lt;Issue&gt;3&lt;/Issue&gt;&lt;ZZ_JournalFull&gt;&lt;f name="System"&gt;Arch Gerontol Geriatr&lt;/f&gt;&lt;/ZZ_JournalFull&gt;&lt;ZZ_WorkformID&gt;1&lt;/ZZ_WorkformID&gt;&lt;/MDL&gt;&lt;/Cite&gt;&lt;/Refman&gt;</w:instrText>
      </w:r>
      <w:r w:rsidR="00CB6193" w:rsidRPr="00E83EE5">
        <w:fldChar w:fldCharType="separate"/>
      </w:r>
      <w:r w:rsidR="001F4300" w:rsidRPr="00E83EE5">
        <w:rPr>
          <w:noProof/>
        </w:rPr>
        <w:t>(32)</w:t>
      </w:r>
      <w:r w:rsidR="00CB6193" w:rsidRPr="00E83EE5">
        <w:fldChar w:fldCharType="end"/>
      </w:r>
      <w:r w:rsidR="008465C0" w:rsidRPr="00E83EE5">
        <w:t xml:space="preserve">. </w:t>
      </w:r>
    </w:p>
    <w:p w14:paraId="783D109E" w14:textId="77777777" w:rsidR="00A2608D" w:rsidRPr="00E83EE5" w:rsidRDefault="00A2608D" w:rsidP="00CC4148">
      <w:pPr>
        <w:spacing w:before="120" w:after="120" w:line="360" w:lineRule="auto"/>
        <w:jc w:val="both"/>
      </w:pPr>
    </w:p>
    <w:p w14:paraId="12733D23" w14:textId="1B4DF599" w:rsidR="00086F1C" w:rsidRDefault="00CC4148" w:rsidP="009B312A">
      <w:pPr>
        <w:spacing w:before="120" w:after="120" w:line="360" w:lineRule="auto"/>
        <w:jc w:val="both"/>
      </w:pPr>
      <w:r w:rsidRPr="00E83EE5">
        <w:t xml:space="preserve">This study has several strengths, starting with a very well described </w:t>
      </w:r>
      <w:r w:rsidR="0051554C" w:rsidRPr="00E83EE5">
        <w:t xml:space="preserve">birth </w:t>
      </w:r>
      <w:r w:rsidRPr="00E83EE5">
        <w:t>cohor</w:t>
      </w:r>
      <w:r w:rsidR="0048574F" w:rsidRPr="00E83EE5">
        <w:t>t of elderly adults with detailed</w:t>
      </w:r>
      <w:r w:rsidRPr="00E83EE5">
        <w:t xml:space="preserve"> brain imaging</w:t>
      </w:r>
      <w:r w:rsidR="0048574F" w:rsidRPr="00E83EE5">
        <w:t xml:space="preserve"> volumetric measurements</w:t>
      </w:r>
      <w:r w:rsidRPr="00E83EE5">
        <w:t xml:space="preserve">. </w:t>
      </w:r>
      <w:r w:rsidR="001544FE" w:rsidRPr="00E83EE5">
        <w:t>Drop-outs at second wave are not thought to affect or bias the results of our analyses in the context of “healthy ageing”</w:t>
      </w:r>
      <w:r w:rsidR="001544FE" w:rsidRPr="00E83EE5">
        <w:fldChar w:fldCharType="begin"/>
      </w:r>
      <w:r w:rsidR="001544FE" w:rsidRPr="00E83EE5">
        <w:instrText xml:space="preserve"> ADDIN REFMGR.CITE &lt;Refman&gt;&lt;Cite&gt;&lt;Author&gt;Deary&lt;/Author&gt;&lt;Year&gt;2012&lt;/Year&gt;&lt;RecNum&gt;19895&lt;/RecNum&gt;&lt;IDText&gt;Cohort Profile: The Lothian Birth Cohorts of 1921 and 1936&lt;/IDText&gt;&lt;MDL Ref_Type="Journal"&gt;&lt;Ref_Type&gt;Journal&lt;/Ref_Type&gt;&lt;Ref_ID&gt;19895&lt;/Ref_ID&gt;&lt;Title_Primary&gt;Cohort Profile: The Lothian Birth Cohorts of 1921 and 1936&lt;/Title_Primary&gt;&lt;Authors_Primary&gt;Deary,I.J.&lt;/Authors_Primary&gt;&lt;Authors_Primary&gt;Gow,A.J.&lt;/Authors_Primary&gt;&lt;Authors_Primary&gt;Pattie,A.&lt;/Authors_Primary&gt;&lt;Authors_Primary&gt;Starr,J.M.&lt;/Authors_Primary&gt;&lt;Date_Primary&gt;2012&lt;/Date_Primary&gt;&lt;Keywords&gt;AGE&lt;/Keywords&gt;&lt;Keywords&gt;and&lt;/Keywords&gt;&lt;Keywords&gt;Article&lt;/Keywords&gt;&lt;Keywords&gt;blood&lt;/Keywords&gt;&lt;Keywords&gt;Brain&lt;/Keywords&gt;&lt;Keywords&gt;Cognitive epidemiology&lt;/Keywords&gt;&lt;Keywords&gt;COGNITIVE FUNCTION&lt;/Keywords&gt;&lt;Keywords&gt;epidemiology&lt;/Keywords&gt;&lt;Keywords&gt;FOLLOW-UP&lt;/Keywords&gt;&lt;Keywords&gt;history&lt;/Keywords&gt;&lt;Keywords&gt;Hospital&lt;/Keywords&gt;&lt;Keywords&gt;imaging&lt;/Keywords&gt;&lt;Keywords&gt;Intelligence&lt;/Keywords&gt;&lt;Keywords&gt;Magnetic Resonance&lt;/Keywords&gt;&lt;Keywords&gt;Magnetic Resonance Imaging&lt;/Keywords&gt;&lt;Keywords&gt;MRI&lt;/Keywords&gt;&lt;Keywords&gt;of&lt;/Keywords&gt;&lt;Keywords&gt;outcome&lt;/Keywords&gt;&lt;Keywords&gt;psychology&lt;/Keywords&gt;&lt;Keywords&gt;RESONANCE&lt;/Keywords&gt;&lt;Keywords&gt;SAMPLE&lt;/Keywords&gt;&lt;Keywords&gt;score&lt;/Keywords&gt;&lt;Keywords&gt;search&lt;/Keywords&gt;&lt;Keywords&gt;test&lt;/Keywords&gt;&lt;Keywords&gt;Universities&lt;/Keywords&gt;&lt;Keywords&gt;urine&lt;/Keywords&gt;&lt;Keywords&gt;Victoria&lt;/Keywords&gt;&lt;Reprint&gt;In File&lt;/Reprint&gt;&lt;Start_Page&gt;1576&lt;/Start_Page&gt;&lt;End_Page&gt;1584&lt;/End_Page&gt;&lt;Periodical&gt;Int J Epidemiol&lt;/Periodical&gt;&lt;Volume&gt;41&lt;/Volume&gt;&lt;Issue&gt;6&lt;/Issue&gt;&lt;Address&gt;Centre for Cognitive Ageing and Cognitive Epidemiology, University of Edinburgh, UK, Department of Psychology, University of Edinburgh, UK, and Royal Victoria Hospital, Edinburgh, UK&lt;/Address&gt;&lt;Web_URL&gt;PM:22253310&lt;/Web_URL&gt;&lt;ZZ_JournalFull&gt;&lt;f name="System"&gt;Int J Epidemiol&lt;/f&gt;&lt;/ZZ_JournalFull&gt;&lt;ZZ_WorkformID&gt;1&lt;/ZZ_WorkformID&gt;&lt;/MDL&gt;&lt;/Cite&gt;&lt;/Refman&gt;</w:instrText>
      </w:r>
      <w:r w:rsidR="001544FE" w:rsidRPr="00E83EE5">
        <w:fldChar w:fldCharType="separate"/>
      </w:r>
      <w:r w:rsidR="001544FE" w:rsidRPr="00E83EE5">
        <w:rPr>
          <w:noProof/>
        </w:rPr>
        <w:t>(33)</w:t>
      </w:r>
      <w:r w:rsidR="001544FE" w:rsidRPr="00E83EE5">
        <w:fldChar w:fldCharType="end"/>
      </w:r>
      <w:r w:rsidR="001544FE" w:rsidRPr="00E83EE5">
        <w:t xml:space="preserve">. </w:t>
      </w:r>
      <w:r w:rsidR="001C624B" w:rsidRPr="00E83EE5">
        <w:t>Our</w:t>
      </w:r>
      <w:r w:rsidRPr="00E83EE5">
        <w:t xml:space="preserve"> approach </w:t>
      </w:r>
      <w:r w:rsidR="001C624B" w:rsidRPr="00E83EE5">
        <w:t>focused on specific dietary patterns,</w:t>
      </w:r>
      <w:r w:rsidRPr="00E83EE5">
        <w:t xml:space="preserve"> </w:t>
      </w:r>
      <w:r w:rsidR="001C624B" w:rsidRPr="00E83EE5">
        <w:t>and</w:t>
      </w:r>
      <w:r w:rsidRPr="00E83EE5">
        <w:t xml:space="preserve"> should be replicated in cohorts with more heterogen</w:t>
      </w:r>
      <w:r w:rsidR="00C12F2C" w:rsidRPr="00E83EE5">
        <w:t>e</w:t>
      </w:r>
      <w:r w:rsidRPr="00E83EE5">
        <w:t>ous dietary profiles. While studying the relationship between lifelong dietary patterns, brain</w:t>
      </w:r>
      <w:bookmarkStart w:id="0" w:name="_GoBack"/>
      <w:bookmarkEnd w:id="0"/>
      <w:r>
        <w:t xml:space="preserve"> structure and cognition will remain challenging when using retrospective approach</w:t>
      </w:r>
      <w:r w:rsidR="00B75328">
        <w:t>es</w:t>
      </w:r>
      <w:r>
        <w:t xml:space="preserve"> to </w:t>
      </w:r>
      <w:r w:rsidR="00F06D40">
        <w:t xml:space="preserve">define the diet and lifestyle, there is scope to set-up well defined prospective studies following individuals through life, in order to draw more definitive answers. This study has </w:t>
      </w:r>
      <w:r w:rsidR="00E41CA6">
        <w:t>found</w:t>
      </w:r>
      <w:r w:rsidR="00F06D40">
        <w:t xml:space="preserve"> an interesting link between low iodine intake and </w:t>
      </w:r>
      <w:r w:rsidR="0048574F">
        <w:t xml:space="preserve">inner brain atrophy, represented by </w:t>
      </w:r>
      <w:r w:rsidR="00F06D40">
        <w:t xml:space="preserve">large ventricular sizes – this </w:t>
      </w:r>
      <w:r w:rsidR="00E41CA6">
        <w:t>is particularly important for studies of aging and AD</w:t>
      </w:r>
      <w:r w:rsidR="00F06D40">
        <w:t xml:space="preserve"> and warrant further studies. At present, our results raise an important hypothesis between brain atrophy and iodine-product consumption, which ought to be better defined </w:t>
      </w:r>
      <w:r w:rsidR="003128AF">
        <w:t>with a view</w:t>
      </w:r>
      <w:r w:rsidR="00F06D40">
        <w:t xml:space="preserve"> to design appropriate guidelines.</w:t>
      </w:r>
    </w:p>
    <w:p w14:paraId="6E438247" w14:textId="77777777" w:rsidR="00086F1C" w:rsidRPr="00086F1C" w:rsidRDefault="00086F1C" w:rsidP="00086F1C">
      <w:pPr>
        <w:spacing w:before="120" w:after="120" w:line="360" w:lineRule="auto"/>
        <w:jc w:val="both"/>
      </w:pPr>
    </w:p>
    <w:p w14:paraId="2EE9D142" w14:textId="1B3D43DB" w:rsidR="00086F1C" w:rsidRPr="00086F1C" w:rsidRDefault="00086F1C" w:rsidP="00086F1C">
      <w:pPr>
        <w:spacing w:before="120" w:after="120" w:line="360" w:lineRule="auto"/>
        <w:jc w:val="both"/>
        <w:rPr>
          <w:b/>
          <w:sz w:val="32"/>
          <w:szCs w:val="32"/>
        </w:rPr>
      </w:pPr>
      <w:r w:rsidRPr="00086F1C">
        <w:rPr>
          <w:b/>
          <w:sz w:val="32"/>
          <w:szCs w:val="32"/>
        </w:rPr>
        <w:t>Acknowledgements and Funding</w:t>
      </w:r>
    </w:p>
    <w:p w14:paraId="5B0DA75E" w14:textId="77777777" w:rsidR="00086F1C" w:rsidRPr="00086F1C" w:rsidRDefault="00086F1C" w:rsidP="00086F1C">
      <w:pPr>
        <w:spacing w:before="120" w:after="120" w:line="360" w:lineRule="auto"/>
        <w:jc w:val="both"/>
      </w:pPr>
      <w:r w:rsidRPr="00086F1C">
        <w:t xml:space="preserve">This study was funded by The Scottish Government under the Heriot-Watt University Theme Fund 2012-13 assigned to the Scottish Crucible initiative </w:t>
      </w:r>
      <w:hyperlink r:id="rId12" w:history="1">
        <w:r w:rsidRPr="00086F1C">
          <w:rPr>
            <w:rStyle w:val="Hyperlink"/>
          </w:rPr>
          <w:t>http://www.scottishcrucible.org.uk/about-crucible.html</w:t>
        </w:r>
      </w:hyperlink>
      <w:r w:rsidRPr="00086F1C">
        <w:t xml:space="preserve"> “Projects for Scotland”. The LBC1936 Study was funded by Age UK and the UK Medical Research Council (</w:t>
      </w:r>
      <w:hyperlink r:id="rId13" w:history="1">
        <w:r w:rsidRPr="00086F1C">
          <w:rPr>
            <w:rStyle w:val="Hyperlink"/>
          </w:rPr>
          <w:t>http://www.disconnectedmind.ed.ac.uk/</w:t>
        </w:r>
      </w:hyperlink>
      <w:r w:rsidRPr="00086F1C">
        <w:t xml:space="preserve">) (including the Sidney De </w:t>
      </w:r>
      <w:proofErr w:type="spellStart"/>
      <w:r w:rsidRPr="00086F1C">
        <w:t>Haan</w:t>
      </w:r>
      <w:proofErr w:type="spellEnd"/>
      <w:r w:rsidRPr="00086F1C">
        <w:t xml:space="preserve"> Award for Vascular Dementia). Funds from the Centre of Cognitive Ageing and Cognitive Epidemiology (</w:t>
      </w:r>
      <w:hyperlink r:id="rId14" w:history="1">
        <w:r w:rsidRPr="00086F1C">
          <w:rPr>
            <w:rStyle w:val="Hyperlink"/>
          </w:rPr>
          <w:t>http://www.ccace.ed.ac.uk/</w:t>
        </w:r>
      </w:hyperlink>
      <w:r w:rsidRPr="00086F1C">
        <w:t xml:space="preserve">) (MR/K026992/1), Row Fogo Charitable Trust (R35865), the Biotechnology and Biological Sciences Research Council, the Engineering and Physical Sciences Research Council and the Economic and Social Research Council are gratefully acknowledged. We thank the LBC1936 participants, Ross Henderson, Catherine Murray and Caroline Spratt for data collection and data entry, nurses at the </w:t>
      </w:r>
      <w:proofErr w:type="spellStart"/>
      <w:r w:rsidRPr="00086F1C">
        <w:t>Wellcome</w:t>
      </w:r>
      <w:proofErr w:type="spellEnd"/>
      <w:r w:rsidRPr="00086F1C">
        <w:t xml:space="preserve"> Trust Clinical Research Facility, radiographers and other staff at the Brain Research Imaging Centre (</w:t>
      </w:r>
      <w:hyperlink r:id="rId15" w:history="1">
        <w:r w:rsidRPr="00086F1C">
          <w:rPr>
            <w:rStyle w:val="Hyperlink"/>
          </w:rPr>
          <w:t>http://www.sbirc.ed.ac.uk/</w:t>
        </w:r>
      </w:hyperlink>
      <w:r w:rsidRPr="00086F1C">
        <w:t>).</w:t>
      </w:r>
    </w:p>
    <w:p w14:paraId="35DAAB8C" w14:textId="77777777" w:rsidR="00086F1C" w:rsidRPr="00086F1C" w:rsidRDefault="00086F1C" w:rsidP="00086F1C">
      <w:pPr>
        <w:spacing w:before="120" w:after="120" w:line="360" w:lineRule="auto"/>
        <w:jc w:val="both"/>
      </w:pPr>
    </w:p>
    <w:p w14:paraId="59B37B20" w14:textId="76439F25" w:rsidR="0052701F" w:rsidRDefault="0052701F" w:rsidP="009B312A">
      <w:pPr>
        <w:spacing w:before="120" w:after="120" w:line="360" w:lineRule="auto"/>
        <w:jc w:val="both"/>
      </w:pPr>
      <w:r>
        <w:br w:type="page"/>
      </w:r>
    </w:p>
    <w:p w14:paraId="5A014F6E" w14:textId="77777777" w:rsidR="001544FE" w:rsidRPr="001544FE" w:rsidRDefault="00CB6193" w:rsidP="001544FE">
      <w:pPr>
        <w:jc w:val="center"/>
        <w:rPr>
          <w:rFonts w:ascii="Calibri" w:hAnsi="Calibri"/>
          <w:noProof/>
        </w:rPr>
      </w:pPr>
      <w:r>
        <w:lastRenderedPageBreak/>
        <w:fldChar w:fldCharType="begin"/>
      </w:r>
      <w:r w:rsidR="003700C0">
        <w:instrText xml:space="preserve"> ADDIN REFMGR.REFLIST </w:instrText>
      </w:r>
      <w:r>
        <w:fldChar w:fldCharType="separate"/>
      </w:r>
      <w:r w:rsidR="001544FE" w:rsidRPr="001544FE">
        <w:rPr>
          <w:rFonts w:ascii="Calibri" w:hAnsi="Calibri"/>
          <w:noProof/>
        </w:rPr>
        <w:t>Reference List</w:t>
      </w:r>
    </w:p>
    <w:p w14:paraId="655AD4A8" w14:textId="77777777" w:rsidR="001544FE" w:rsidRPr="001544FE" w:rsidRDefault="001544FE" w:rsidP="001544FE">
      <w:pPr>
        <w:jc w:val="center"/>
        <w:rPr>
          <w:rFonts w:ascii="Calibri" w:hAnsi="Calibri"/>
          <w:noProof/>
        </w:rPr>
      </w:pPr>
    </w:p>
    <w:p w14:paraId="6E96BD93"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1. </w:t>
      </w:r>
      <w:r>
        <w:rPr>
          <w:rFonts w:ascii="Calibri" w:hAnsi="Calibri"/>
          <w:noProof/>
        </w:rPr>
        <w:tab/>
        <w:t xml:space="preserve">Andersson M, Karumbunathan V, Zimmermann MB. </w:t>
      </w:r>
      <w:r w:rsidRPr="001544FE">
        <w:rPr>
          <w:rFonts w:ascii="Times New Roman" w:hAnsi="Times New Roman" w:cs="Times New Roman"/>
          <w:noProof/>
        </w:rPr>
        <w:t>Global iodine status in 2011 and trends over the past decade</w:t>
      </w:r>
      <w:r>
        <w:rPr>
          <w:rFonts w:ascii="Calibri" w:hAnsi="Calibri"/>
          <w:noProof/>
        </w:rPr>
        <w:t>. J Nutr. 2012 Apr 1;142:744-50.</w:t>
      </w:r>
    </w:p>
    <w:p w14:paraId="61D61B64" w14:textId="31C8320A"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2. </w:t>
      </w:r>
      <w:r>
        <w:rPr>
          <w:rFonts w:ascii="Calibri" w:hAnsi="Calibri"/>
          <w:noProof/>
        </w:rPr>
        <w:tab/>
        <w:t xml:space="preserve">Public Health England, Food Standards Agency. </w:t>
      </w:r>
      <w:r w:rsidRPr="001544FE">
        <w:rPr>
          <w:rFonts w:ascii="Times New Roman" w:hAnsi="Times New Roman" w:cs="Times New Roman"/>
          <w:noProof/>
        </w:rPr>
        <w:t>National Diet and Nutrition Survey: results from Years 1 to 4 (combined) of the rolling programme for 2008 and 2009 to 2011 and 2012</w:t>
      </w:r>
      <w:r>
        <w:rPr>
          <w:rFonts w:ascii="Calibri" w:hAnsi="Calibri"/>
          <w:noProof/>
        </w:rPr>
        <w:t>. In: Government UK, editor.https://</w:t>
      </w:r>
      <w:hyperlink r:id="rId16" w:history="1">
        <w:r w:rsidRPr="001544FE">
          <w:rPr>
            <w:rStyle w:val="Hyperlink"/>
            <w:rFonts w:ascii="Calibri" w:hAnsi="Calibri"/>
            <w:noProof/>
          </w:rPr>
          <w:t>www.gov.uk/government/statistics/national-diet-and-nutrition-survey-results-from-years-1-to-4-combined-of-the-rolling-programme-for-2008-and-2009-to-2011-and-2012:</w:t>
        </w:r>
      </w:hyperlink>
      <w:r>
        <w:rPr>
          <w:rFonts w:ascii="Calibri" w:hAnsi="Calibri"/>
          <w:noProof/>
        </w:rPr>
        <w:t xml:space="preserve"> 2014.</w:t>
      </w:r>
    </w:p>
    <w:p w14:paraId="27CDD1E6"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3. </w:t>
      </w:r>
      <w:r>
        <w:rPr>
          <w:rFonts w:ascii="Calibri" w:hAnsi="Calibri"/>
          <w:noProof/>
        </w:rPr>
        <w:tab/>
        <w:t xml:space="preserve">Vanderpump MP, Lazarus JH, Smyth PP, Laurberg P, Holder RL, Boelaert K, Franklyn JA, British Thyroid Association UK Iodine Survey Group. </w:t>
      </w:r>
      <w:r w:rsidRPr="001544FE">
        <w:rPr>
          <w:rFonts w:ascii="Times New Roman" w:hAnsi="Times New Roman" w:cs="Times New Roman"/>
          <w:noProof/>
        </w:rPr>
        <w:t>Iodine status of UK schoolgirls: a cross-sectional survey</w:t>
      </w:r>
      <w:r>
        <w:rPr>
          <w:rFonts w:ascii="Calibri" w:hAnsi="Calibri"/>
          <w:noProof/>
        </w:rPr>
        <w:t>. Lancet. 2011 Jun 11;377:2007-12.</w:t>
      </w:r>
    </w:p>
    <w:p w14:paraId="579689CD"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4. </w:t>
      </w:r>
      <w:r>
        <w:rPr>
          <w:rFonts w:ascii="Calibri" w:hAnsi="Calibri"/>
          <w:noProof/>
        </w:rPr>
        <w:tab/>
        <w:t xml:space="preserve">Bath SC, Steer CD, Golding J, Emmett P, Rayman MP. </w:t>
      </w:r>
      <w:r w:rsidRPr="001544FE">
        <w:rPr>
          <w:rFonts w:ascii="Times New Roman" w:hAnsi="Times New Roman" w:cs="Times New Roman"/>
          <w:noProof/>
        </w:rPr>
        <w:t>Effect of inadequate iodine status in UK pregnant women on cognitive outcomes in their children: results from the Avon Longitudinal Study of Parents and Children (ALSPAC)</w:t>
      </w:r>
      <w:r>
        <w:rPr>
          <w:rFonts w:ascii="Calibri" w:hAnsi="Calibri"/>
          <w:noProof/>
        </w:rPr>
        <w:t>. Lancet. 2013 Nov 27;382:331-7.</w:t>
      </w:r>
    </w:p>
    <w:p w14:paraId="13620D8B"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5. </w:t>
      </w:r>
      <w:r>
        <w:rPr>
          <w:rFonts w:ascii="Calibri" w:hAnsi="Calibri"/>
          <w:noProof/>
        </w:rPr>
        <w:tab/>
        <w:t>Deary IJ, Whiteman MC, Starr JM, Whalley LJ, Fox HC. The impact of childhood intelligence on later life: following up the Scottish mental surveys of 1932 and 1947. J Pers Soc Psychol. 2004;86:130-47.</w:t>
      </w:r>
    </w:p>
    <w:p w14:paraId="2EB52D74"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6. </w:t>
      </w:r>
      <w:r>
        <w:rPr>
          <w:rFonts w:ascii="Calibri" w:hAnsi="Calibri"/>
          <w:noProof/>
        </w:rPr>
        <w:tab/>
        <w:t xml:space="preserve">Combet E, Bouga M, Pan B, Lean ME, Christopher CO. </w:t>
      </w:r>
      <w:r w:rsidRPr="001544FE">
        <w:rPr>
          <w:rFonts w:ascii="Times New Roman" w:hAnsi="Times New Roman" w:cs="Times New Roman"/>
          <w:noProof/>
        </w:rPr>
        <w:t>Iodine and pregnancy - a UK cross-sectional survey of dietary intake, knowledge and awareness</w:t>
      </w:r>
      <w:r>
        <w:rPr>
          <w:rFonts w:ascii="Calibri" w:hAnsi="Calibri"/>
          <w:noProof/>
        </w:rPr>
        <w:t>. Br J Nutr. 2015 Jul 14;114:108-17.</w:t>
      </w:r>
    </w:p>
    <w:p w14:paraId="24474848"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7. </w:t>
      </w:r>
      <w:r>
        <w:rPr>
          <w:rFonts w:ascii="Calibri" w:hAnsi="Calibri"/>
          <w:noProof/>
        </w:rPr>
        <w:tab/>
        <w:t>Valdes Hernandez MC, Wilson KL, Aspray EC, Wardlaw JM. Brain findings associated with iodine deficiency identified by magnetic resonance methods: a systematic review. Open Journal of Radiology. 2013;3:180-95.</w:t>
      </w:r>
    </w:p>
    <w:p w14:paraId="6E8D9014"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8. </w:t>
      </w:r>
      <w:r>
        <w:rPr>
          <w:rFonts w:ascii="Calibri" w:hAnsi="Calibri"/>
          <w:noProof/>
        </w:rPr>
        <w:tab/>
        <w:t>Deary IJ, Gow AJ, Taylor MD, Corley J, Brett C, Wilson V, Campbell H, Whalley LJ, Visscher PM, et al. The Lothian Birth Cohort 1936: a study to examine influences on cognitive ageing from age 11 to age 70 and beyond. BMC Geriatr. 2007;7:28.</w:t>
      </w:r>
    </w:p>
    <w:p w14:paraId="15C3E60C"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9. </w:t>
      </w:r>
      <w:r>
        <w:rPr>
          <w:rFonts w:ascii="Calibri" w:hAnsi="Calibri"/>
          <w:noProof/>
        </w:rPr>
        <w:tab/>
        <w:t xml:space="preserve">Valdes-Hernandez MC, Allan J, Glatz A, Kyle J, Corley J, Brett CE, Munoz Maniega S, Royle NA, Bastin ME, et al. </w:t>
      </w:r>
      <w:r w:rsidRPr="001544FE">
        <w:rPr>
          <w:rFonts w:ascii="ArialUnicodeMS" w:hAnsi="ArialUnicodeMS"/>
          <w:noProof/>
        </w:rPr>
        <w:t>Exploratory analysis of dietary intake and brain iron accumulation detected using magnetic resonance imaging in older individuals: the Lothian Birth Cohort 1936</w:t>
      </w:r>
      <w:r>
        <w:rPr>
          <w:rFonts w:ascii="Calibri" w:hAnsi="Calibri"/>
          <w:noProof/>
        </w:rPr>
        <w:t>. J Nutr Health Aging. 2014;19:64-9.</w:t>
      </w:r>
    </w:p>
    <w:p w14:paraId="2AD0DE9D"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10. </w:t>
      </w:r>
      <w:r>
        <w:rPr>
          <w:rFonts w:ascii="Calibri" w:hAnsi="Calibri"/>
          <w:noProof/>
        </w:rPr>
        <w:tab/>
        <w:t>Wardlaw JM, Bastin ME, Valdes Hernandez MC, Munoz Maniega S, Royle NA, Morris Z, Clayden JD, Sandeman EM, Eadie E, et al. Brain aging, cognition in youth and old age and vascular disease in the Lothian Birth Cohort 1936: rationale, design and methodology of the imaging protocol. Int J Stroke. 2011;6:547-59.</w:t>
      </w:r>
    </w:p>
    <w:p w14:paraId="5AF94F4A"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11. </w:t>
      </w:r>
      <w:r>
        <w:rPr>
          <w:rFonts w:ascii="Calibri" w:hAnsi="Calibri"/>
          <w:noProof/>
        </w:rPr>
        <w:tab/>
        <w:t xml:space="preserve">Smith SM, Brady JM. </w:t>
      </w:r>
      <w:r w:rsidRPr="001544FE">
        <w:rPr>
          <w:rFonts w:ascii="Times New Roman" w:hAnsi="Times New Roman" w:cs="Times New Roman"/>
          <w:noProof/>
        </w:rPr>
        <w:t>SUSAN - a new approach to low level image processing</w:t>
      </w:r>
      <w:r>
        <w:rPr>
          <w:rFonts w:ascii="Calibri" w:hAnsi="Calibri"/>
          <w:noProof/>
        </w:rPr>
        <w:t>. Int J Comp Vision. 1997 May 1;23:45-78.</w:t>
      </w:r>
    </w:p>
    <w:p w14:paraId="09130FD4"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12. </w:t>
      </w:r>
      <w:r>
        <w:rPr>
          <w:rFonts w:ascii="Calibri" w:hAnsi="Calibri"/>
          <w:noProof/>
        </w:rPr>
        <w:tab/>
        <w:t>Jenkinson M, Bannister P, Brady M, Smith S. Improved optimization for the robust and accurate linear registration and motion correction of brain images. Neuroimage. 2002;17:825-41.</w:t>
      </w:r>
    </w:p>
    <w:p w14:paraId="755AE6E0"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lastRenderedPageBreak/>
        <w:tab/>
        <w:t xml:space="preserve">13. </w:t>
      </w:r>
      <w:r>
        <w:rPr>
          <w:rFonts w:ascii="Calibri" w:hAnsi="Calibri"/>
          <w:noProof/>
        </w:rPr>
        <w:tab/>
        <w:t>Patenaude B, Smith SM, Kennedy DN, Jenkinson M. A Bayesian model of shape and appearance for subcortical brain segmentation. Neuroimage. 2011;56:907-22.</w:t>
      </w:r>
    </w:p>
    <w:p w14:paraId="53443622"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14. </w:t>
      </w:r>
      <w:r>
        <w:rPr>
          <w:rFonts w:ascii="Calibri" w:hAnsi="Calibri"/>
          <w:noProof/>
        </w:rPr>
        <w:tab/>
        <w:t>Hernandez MC, Ferguson KJ, Chappell FM, Wardlaw JM. New multispectral MRI data fusion technique for white matter lesion segmentation: method and comparison with thresholding in FLAIR images. Eur Radiol. 2010;20:1684-91.</w:t>
      </w:r>
    </w:p>
    <w:p w14:paraId="6E5D7E42"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15. </w:t>
      </w:r>
      <w:r>
        <w:rPr>
          <w:rFonts w:ascii="Calibri" w:hAnsi="Calibri"/>
          <w:noProof/>
        </w:rPr>
        <w:tab/>
        <w:t>Wechsler D. WAIS-III: Administration and scoring manual : Wechsler adult intelligence scale. 3rd ed. London: Psychological Corporation; 1997.</w:t>
      </w:r>
    </w:p>
    <w:p w14:paraId="05C4AE65"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16. </w:t>
      </w:r>
      <w:r>
        <w:rPr>
          <w:rFonts w:ascii="Calibri" w:hAnsi="Calibri"/>
          <w:noProof/>
        </w:rPr>
        <w:tab/>
        <w:t>Wechsler D. WMS-III: Wechsler memory scale administration and scoring manual. London: Psychological Corporation; 1997.</w:t>
      </w:r>
    </w:p>
    <w:p w14:paraId="0013334D"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17. </w:t>
      </w:r>
      <w:r>
        <w:rPr>
          <w:rFonts w:ascii="Calibri" w:hAnsi="Calibri"/>
          <w:noProof/>
        </w:rPr>
        <w:tab/>
        <w:t>Jia X, Craig LCA, Aucott LS, Milne AC, McNeill G. Repeatability and validity of a food frequency questionnaire in free-living older people in relation to cognitive function. J Nutr Health Aging. 2008 Dec 1;12:735-41.</w:t>
      </w:r>
    </w:p>
    <w:p w14:paraId="1A27BB46"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18. </w:t>
      </w:r>
      <w:r>
        <w:rPr>
          <w:rFonts w:ascii="Calibri" w:hAnsi="Calibri"/>
          <w:noProof/>
        </w:rPr>
        <w:tab/>
        <w:t xml:space="preserve">Booth T, Deary IJ, Starr JM. </w:t>
      </w:r>
      <w:r w:rsidRPr="001544FE">
        <w:rPr>
          <w:rFonts w:ascii="Times New Roman" w:hAnsi="Times New Roman" w:cs="Times New Roman"/>
          <w:noProof/>
        </w:rPr>
        <w:t>Thyroid stimulating hormone, free thyroxine and cognitive ability in old age: The Lothian birth cohort study 1936</w:t>
      </w:r>
      <w:r>
        <w:rPr>
          <w:rFonts w:ascii="Calibri" w:hAnsi="Calibri"/>
          <w:noProof/>
        </w:rPr>
        <w:t>. Psychoneuroendocrinology. 2013 Apr 1;38:597-601.</w:t>
      </w:r>
    </w:p>
    <w:p w14:paraId="7E973DEC"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19. </w:t>
      </w:r>
      <w:r>
        <w:rPr>
          <w:rFonts w:ascii="Calibri" w:hAnsi="Calibri"/>
          <w:noProof/>
        </w:rPr>
        <w:tab/>
        <w:t>Aribisala BS, Valdes Hernandez MC, Royle NA, Morris Z, Munoz Maniega S, Bastin ME, Deary IJ, Wardlaw JM. Brain atrophy associations with white matter lesions in the ageing brain: the Lothian Birth Cohort 1936. Eur Radiol. 2013;23:1084-92.</w:t>
      </w:r>
    </w:p>
    <w:p w14:paraId="7FE29EBA"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20. </w:t>
      </w:r>
      <w:r>
        <w:rPr>
          <w:rFonts w:ascii="Calibri" w:hAnsi="Calibri"/>
          <w:noProof/>
        </w:rPr>
        <w:tab/>
      </w:r>
      <w:r w:rsidRPr="001544FE">
        <w:rPr>
          <w:rFonts w:ascii="Times New Roman" w:hAnsi="Times New Roman" w:cs="Times New Roman"/>
          <w:noProof/>
        </w:rPr>
        <w:t>Dietary reference values for food energy and nutrients for the United Kingdom. Report of the Panel on Dietary Reference Values of the Committee on Medical Aspects of Food Policy</w:t>
      </w:r>
      <w:r>
        <w:rPr>
          <w:rFonts w:ascii="Calibri" w:hAnsi="Calibri"/>
          <w:noProof/>
        </w:rPr>
        <w:t>. Rep Health Soc Subj (Lond). 1991;41:1-210.</w:t>
      </w:r>
    </w:p>
    <w:p w14:paraId="2252DE75"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21. </w:t>
      </w:r>
      <w:r>
        <w:rPr>
          <w:rFonts w:ascii="Calibri" w:hAnsi="Calibri"/>
          <w:noProof/>
        </w:rPr>
        <w:tab/>
        <w:t xml:space="preserve">Destefani SA, Corrente JE, Paiva SA, Mazeto GM. </w:t>
      </w:r>
      <w:r w:rsidRPr="001544FE">
        <w:rPr>
          <w:rFonts w:ascii="Times New Roman" w:hAnsi="Times New Roman" w:cs="Times New Roman"/>
          <w:noProof/>
        </w:rPr>
        <w:t>Prevalence of iodine intake inadequacy in elderly Brazilian women. A cross-sectional study</w:t>
      </w:r>
      <w:r>
        <w:rPr>
          <w:rFonts w:ascii="Calibri" w:hAnsi="Calibri"/>
          <w:noProof/>
        </w:rPr>
        <w:t>. J Nutr Health Aging. 2015 Feb 1;19:137-40.</w:t>
      </w:r>
    </w:p>
    <w:p w14:paraId="39F59C88"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22. </w:t>
      </w:r>
      <w:r>
        <w:rPr>
          <w:rFonts w:ascii="Calibri" w:hAnsi="Calibri"/>
          <w:noProof/>
        </w:rPr>
        <w:tab/>
        <w:t xml:space="preserve">Gu Y, Brickman AM, Stern Y, Habeck CG, Razlighi QR, Luchsinger JA, Manly JJ, Schupf N, Mayeux R, Scarmeas N. </w:t>
      </w:r>
      <w:r w:rsidRPr="001544FE">
        <w:rPr>
          <w:rFonts w:ascii="Times New Roman" w:hAnsi="Times New Roman" w:cs="Times New Roman"/>
          <w:noProof/>
        </w:rPr>
        <w:t>Mediterranean diet and brain structure in a multiethnic elderly cohort</w:t>
      </w:r>
      <w:r>
        <w:rPr>
          <w:rFonts w:ascii="Calibri" w:hAnsi="Calibri"/>
          <w:noProof/>
        </w:rPr>
        <w:t>. Neurology. 2015 Nov 17;85:1744-51.</w:t>
      </w:r>
    </w:p>
    <w:p w14:paraId="10CA5830"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23. </w:t>
      </w:r>
      <w:r>
        <w:rPr>
          <w:rFonts w:ascii="Calibri" w:hAnsi="Calibri"/>
          <w:noProof/>
        </w:rPr>
        <w:tab/>
        <w:t xml:space="preserve">Berti V, Murray J, Davies M, Spector N, Tsui WH, Li Y, Williams S, Pirraglia E, Vallabhajosula S, et al. </w:t>
      </w:r>
      <w:r w:rsidRPr="001544FE">
        <w:rPr>
          <w:rFonts w:ascii="Times New Roman" w:hAnsi="Times New Roman" w:cs="Times New Roman"/>
          <w:noProof/>
        </w:rPr>
        <w:t>Nutrient patterns and brain biomarkers of Alzheimer's disease in cognitively normal individuals</w:t>
      </w:r>
      <w:r>
        <w:rPr>
          <w:rFonts w:ascii="Calibri" w:hAnsi="Calibri"/>
          <w:noProof/>
        </w:rPr>
        <w:t>. J Nutr Health Aging. 2015 Apr 19;19:413-23.</w:t>
      </w:r>
    </w:p>
    <w:p w14:paraId="295E3CC6"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24. </w:t>
      </w:r>
      <w:r>
        <w:rPr>
          <w:rFonts w:ascii="Calibri" w:hAnsi="Calibri"/>
          <w:noProof/>
        </w:rPr>
        <w:tab/>
        <w:t>Schuchardt JP, Kobe T, Witte V, Willers J, Gingrich A, Tesky V, pantel J, Rujescu D, Illig T, et al. Genetic Variants of the FADS Gene Cluster Are Associated with Erythrocyte Membrane LC PUFA Levels in Patients with Mild Cognitive Impairment. J Nutr Health Aging. 2016 Jan 1;20:611-20.</w:t>
      </w:r>
    </w:p>
    <w:p w14:paraId="352C775D"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25. </w:t>
      </w:r>
      <w:r>
        <w:rPr>
          <w:rFonts w:ascii="Calibri" w:hAnsi="Calibri"/>
          <w:noProof/>
        </w:rPr>
        <w:tab/>
        <w:t xml:space="preserve">Combet E, Lean MEJ. </w:t>
      </w:r>
      <w:r w:rsidRPr="001544FE">
        <w:rPr>
          <w:rFonts w:ascii="Times New Roman" w:hAnsi="Times New Roman" w:cs="Times New Roman"/>
          <w:noProof/>
        </w:rPr>
        <w:t>Validation of a short food frequency questionnaire specific for iodine in UK females of childbearing age</w:t>
      </w:r>
      <w:r>
        <w:rPr>
          <w:rFonts w:ascii="Calibri" w:hAnsi="Calibri"/>
          <w:noProof/>
        </w:rPr>
        <w:t>. J Hum Nutr Diet. 2014 Dec;27:599-605.</w:t>
      </w:r>
    </w:p>
    <w:p w14:paraId="1DCD8E84"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26. </w:t>
      </w:r>
      <w:r>
        <w:rPr>
          <w:rFonts w:ascii="Calibri" w:hAnsi="Calibri"/>
          <w:noProof/>
        </w:rPr>
        <w:tab/>
        <w:t xml:space="preserve">Tan LM, Charlton KE, Tan SY, Ma G, Batterham M. </w:t>
      </w:r>
      <w:r w:rsidRPr="001544FE">
        <w:rPr>
          <w:rFonts w:ascii="Times New Roman" w:hAnsi="Times New Roman" w:cs="Times New Roman"/>
          <w:noProof/>
        </w:rPr>
        <w:t>Validity and reproducibility of an iodine-specific food frequency questionnaire to estimate dietary iodine intake in older Australians</w:t>
      </w:r>
      <w:r>
        <w:rPr>
          <w:rFonts w:ascii="Calibri" w:hAnsi="Calibri"/>
          <w:noProof/>
        </w:rPr>
        <w:t>. Nutr Diet. 2013 Mar;70:71-8.</w:t>
      </w:r>
    </w:p>
    <w:p w14:paraId="63095D46"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27. </w:t>
      </w:r>
      <w:r>
        <w:rPr>
          <w:rFonts w:ascii="Calibri" w:hAnsi="Calibri"/>
          <w:noProof/>
        </w:rPr>
        <w:tab/>
        <w:t>Phillips DI. Iodine, milk, and the elimination of endemic goitre in Britain: the story of an accidental public health triumph. J Epidemiol Community Health. 1997;51:391-3.</w:t>
      </w:r>
    </w:p>
    <w:p w14:paraId="7B5BC7C2"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lastRenderedPageBreak/>
        <w:tab/>
        <w:t xml:space="preserve">28. </w:t>
      </w:r>
      <w:r>
        <w:rPr>
          <w:rFonts w:ascii="Calibri" w:hAnsi="Calibri"/>
          <w:noProof/>
        </w:rPr>
        <w:tab/>
        <w:t xml:space="preserve">Zuniga K, McAuley E. </w:t>
      </w:r>
      <w:r w:rsidRPr="001544FE">
        <w:rPr>
          <w:rFonts w:ascii="Times New Roman" w:hAnsi="Times New Roman" w:cs="Times New Roman"/>
          <w:noProof/>
        </w:rPr>
        <w:t>Considerations in selection of diet assessment methods for examining the effect of nutrition on cognition</w:t>
      </w:r>
      <w:r>
        <w:rPr>
          <w:rFonts w:ascii="Calibri" w:hAnsi="Calibri"/>
          <w:noProof/>
        </w:rPr>
        <w:t>. J Nutr Health Aging. 2015 Mar;19:333-40.</w:t>
      </w:r>
    </w:p>
    <w:p w14:paraId="74163AE2"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29. </w:t>
      </w:r>
      <w:r>
        <w:rPr>
          <w:rFonts w:ascii="Calibri" w:hAnsi="Calibri"/>
          <w:noProof/>
        </w:rPr>
        <w:tab/>
        <w:t>Batty GD, Deary IJ, Macintyre S. Childhood IQ in relation to risk factors for premature mortality in middle-aged persons: the Aberdeen Children of the 1950s study. J Epidemiol Community Health. 2007;61:241-7.</w:t>
      </w:r>
    </w:p>
    <w:p w14:paraId="0E4B579B"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30. </w:t>
      </w:r>
      <w:r>
        <w:rPr>
          <w:rFonts w:ascii="Calibri" w:hAnsi="Calibri"/>
          <w:noProof/>
        </w:rPr>
        <w:tab/>
        <w:t xml:space="preserve">Begin ME, Langlois MF, Lorrain D, Cunnane SC. </w:t>
      </w:r>
      <w:r w:rsidRPr="001544FE">
        <w:rPr>
          <w:rFonts w:ascii="Times New Roman" w:hAnsi="Times New Roman" w:cs="Times New Roman"/>
          <w:noProof/>
        </w:rPr>
        <w:t>Thyroid Function and Cognition during Aging</w:t>
      </w:r>
      <w:r>
        <w:rPr>
          <w:rFonts w:ascii="Calibri" w:hAnsi="Calibri"/>
          <w:noProof/>
        </w:rPr>
        <w:t>. Curr Gerontol Geriatr Res. 2008 Sep 1;474868.</w:t>
      </w:r>
    </w:p>
    <w:p w14:paraId="108B78E1"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31. </w:t>
      </w:r>
      <w:r>
        <w:rPr>
          <w:rFonts w:ascii="Calibri" w:hAnsi="Calibri"/>
          <w:noProof/>
        </w:rPr>
        <w:tab/>
        <w:t xml:space="preserve">St John JA, Henderson VW, Gatto NM, McCleary CA, Spencer CA, Hodis HN, Mack WJ. </w:t>
      </w:r>
      <w:r w:rsidRPr="001544FE">
        <w:rPr>
          <w:rFonts w:ascii="Times New Roman" w:hAnsi="Times New Roman" w:cs="Times New Roman"/>
          <w:noProof/>
        </w:rPr>
        <w:t>Mildly elevated TSH and cognition in middle-aged and older adults</w:t>
      </w:r>
      <w:r>
        <w:rPr>
          <w:rFonts w:ascii="Calibri" w:hAnsi="Calibri"/>
          <w:noProof/>
        </w:rPr>
        <w:t>. Thyroid. 2009 Feb;19:111-7.</w:t>
      </w:r>
    </w:p>
    <w:p w14:paraId="692C7E12" w14:textId="77777777" w:rsidR="001544FE" w:rsidRDefault="001544FE" w:rsidP="001544FE">
      <w:pPr>
        <w:tabs>
          <w:tab w:val="right" w:pos="360"/>
          <w:tab w:val="left" w:pos="540"/>
        </w:tabs>
        <w:spacing w:after="240" w:line="240" w:lineRule="auto"/>
        <w:ind w:left="540" w:hanging="540"/>
        <w:rPr>
          <w:rFonts w:ascii="Calibri" w:hAnsi="Calibri"/>
          <w:noProof/>
        </w:rPr>
      </w:pPr>
      <w:r>
        <w:rPr>
          <w:rFonts w:ascii="Calibri" w:hAnsi="Calibri"/>
          <w:noProof/>
        </w:rPr>
        <w:tab/>
        <w:t xml:space="preserve">32. </w:t>
      </w:r>
      <w:r>
        <w:rPr>
          <w:rFonts w:ascii="Calibri" w:hAnsi="Calibri"/>
          <w:noProof/>
        </w:rPr>
        <w:tab/>
        <w:t xml:space="preserve">Park YJ, Lee EJ, Lee YJ, Choi SH, Park JH, Lee SB, Lim S, Lee WW, Jang HC, et al. </w:t>
      </w:r>
      <w:r w:rsidRPr="001544FE">
        <w:rPr>
          <w:rFonts w:ascii="Times New Roman" w:hAnsi="Times New Roman" w:cs="Times New Roman"/>
          <w:noProof/>
        </w:rPr>
        <w:t>Subclinical hypothyroidism (SCH) is not associated with metabolic derangement, cognitive impairment, depression or poor quality of life (QoL) in elderly subjects</w:t>
      </w:r>
      <w:r>
        <w:rPr>
          <w:rFonts w:ascii="Calibri" w:hAnsi="Calibri"/>
          <w:noProof/>
        </w:rPr>
        <w:t>. Arch Gerontol Geriatr. 2010;50:e68-e73.</w:t>
      </w:r>
    </w:p>
    <w:p w14:paraId="2E9D97FB" w14:textId="77777777" w:rsidR="001544FE" w:rsidRDefault="001544FE" w:rsidP="001544FE">
      <w:pPr>
        <w:tabs>
          <w:tab w:val="right" w:pos="360"/>
          <w:tab w:val="left" w:pos="540"/>
        </w:tabs>
        <w:spacing w:after="0" w:line="240" w:lineRule="auto"/>
        <w:ind w:left="540" w:hanging="540"/>
        <w:rPr>
          <w:rFonts w:ascii="Calibri" w:hAnsi="Calibri"/>
          <w:noProof/>
        </w:rPr>
      </w:pPr>
      <w:r>
        <w:rPr>
          <w:rFonts w:ascii="Calibri" w:hAnsi="Calibri"/>
          <w:noProof/>
        </w:rPr>
        <w:tab/>
        <w:t xml:space="preserve">33. </w:t>
      </w:r>
      <w:r>
        <w:rPr>
          <w:rFonts w:ascii="Calibri" w:hAnsi="Calibri"/>
          <w:noProof/>
        </w:rPr>
        <w:tab/>
        <w:t>Deary IJ, Gow AJ, Pattie A, Starr JM. Cohort Profile: The Lothian Birth Cohorts of 1921 and 1936. Int J Epidemiol. 2012;41:1576-84.</w:t>
      </w:r>
    </w:p>
    <w:p w14:paraId="5DDF8102" w14:textId="6AED59DE" w:rsidR="001544FE" w:rsidRDefault="001544FE" w:rsidP="001544FE">
      <w:pPr>
        <w:tabs>
          <w:tab w:val="right" w:pos="360"/>
          <w:tab w:val="left" w:pos="540"/>
        </w:tabs>
        <w:spacing w:after="0" w:line="240" w:lineRule="auto"/>
        <w:ind w:left="540" w:hanging="540"/>
        <w:rPr>
          <w:rFonts w:ascii="Calibri" w:hAnsi="Calibri"/>
          <w:noProof/>
        </w:rPr>
      </w:pPr>
    </w:p>
    <w:p w14:paraId="52411B37" w14:textId="4BCBA0AA" w:rsidR="004C1B78" w:rsidRDefault="00CB6193">
      <w:r>
        <w:fldChar w:fldCharType="end"/>
      </w:r>
    </w:p>
    <w:sectPr w:rsidR="004C1B78" w:rsidSect="0052701F">
      <w:headerReference w:type="default" r:id="rId1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32BD9" w14:textId="77777777" w:rsidR="00AB5A8F" w:rsidRDefault="00AB5A8F" w:rsidP="00C7488D">
      <w:pPr>
        <w:spacing w:after="0" w:line="240" w:lineRule="auto"/>
      </w:pPr>
      <w:r>
        <w:separator/>
      </w:r>
    </w:p>
  </w:endnote>
  <w:endnote w:type="continuationSeparator" w:id="0">
    <w:p w14:paraId="4564B80C" w14:textId="77777777" w:rsidR="00AB5A8F" w:rsidRDefault="00AB5A8F" w:rsidP="00C7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auto"/>
    <w:notTrueType/>
    <w:pitch w:val="variable"/>
    <w:sig w:usb0="00000003" w:usb1="00000000" w:usb2="00000000" w:usb3="00000000" w:csb0="00000001" w:csb1="00000000"/>
  </w:font>
  <w:font w:name="DejaVu Sans">
    <w:altName w:val="Arial Unicode M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sig w:usb0="00000003" w:usb1="00000000" w:usb2="00000000" w:usb3="00000000" w:csb0="00000001" w:csb1="00000000"/>
  </w:font>
  <w:font w:name="ArialUnicodeM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D769B" w14:textId="77777777" w:rsidR="00AB5A8F" w:rsidRDefault="00AB5A8F" w:rsidP="00C7488D">
      <w:pPr>
        <w:spacing w:after="0" w:line="240" w:lineRule="auto"/>
      </w:pPr>
      <w:r>
        <w:separator/>
      </w:r>
    </w:p>
  </w:footnote>
  <w:footnote w:type="continuationSeparator" w:id="0">
    <w:p w14:paraId="33E28788" w14:textId="77777777" w:rsidR="00AB5A8F" w:rsidRDefault="00AB5A8F" w:rsidP="00C74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880037"/>
      <w:docPartObj>
        <w:docPartGallery w:val="Page Numbers (Top of Page)"/>
        <w:docPartUnique/>
      </w:docPartObj>
    </w:sdtPr>
    <w:sdtEndPr>
      <w:rPr>
        <w:noProof/>
      </w:rPr>
    </w:sdtEndPr>
    <w:sdtContent>
      <w:p w14:paraId="56C87F0F" w14:textId="150EFC85" w:rsidR="000D77C8" w:rsidRDefault="000D77C8">
        <w:pPr>
          <w:pStyle w:val="Header"/>
          <w:jc w:val="right"/>
        </w:pPr>
        <w:r>
          <w:fldChar w:fldCharType="begin"/>
        </w:r>
        <w:r>
          <w:instrText xml:space="preserve"> PAGE   \* MERGEFORMAT </w:instrText>
        </w:r>
        <w:r>
          <w:fldChar w:fldCharType="separate"/>
        </w:r>
        <w:r w:rsidR="00E83EE5">
          <w:rPr>
            <w:noProof/>
          </w:rPr>
          <w:t>21</w:t>
        </w:r>
        <w:r>
          <w:rPr>
            <w:noProof/>
          </w:rPr>
          <w:fldChar w:fldCharType="end"/>
        </w:r>
      </w:p>
    </w:sdtContent>
  </w:sdt>
  <w:p w14:paraId="69703490" w14:textId="77777777" w:rsidR="000D77C8" w:rsidRDefault="000D7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F2B94"/>
    <w:multiLevelType w:val="hybridMultilevel"/>
    <w:tmpl w:val="B802B1CA"/>
    <w:lvl w:ilvl="0" w:tplc="6DA26E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6C7DE4"/>
    <w:multiLevelType w:val="hybridMultilevel"/>
    <w:tmpl w:val="23F86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Journal of Nutrition&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refman-V12&lt;/item&gt;&lt;/Libraries&gt;&lt;/ENLibraries&gt;"/>
  </w:docVars>
  <w:rsids>
    <w:rsidRoot w:val="00661B01"/>
    <w:rsid w:val="0000680E"/>
    <w:rsid w:val="00006C1A"/>
    <w:rsid w:val="00021620"/>
    <w:rsid w:val="00021900"/>
    <w:rsid w:val="00022B2B"/>
    <w:rsid w:val="000513A3"/>
    <w:rsid w:val="000544E8"/>
    <w:rsid w:val="00065511"/>
    <w:rsid w:val="00073A70"/>
    <w:rsid w:val="00073DB4"/>
    <w:rsid w:val="00073F61"/>
    <w:rsid w:val="0007664C"/>
    <w:rsid w:val="00086F1C"/>
    <w:rsid w:val="00093D22"/>
    <w:rsid w:val="000A4C35"/>
    <w:rsid w:val="000B15D7"/>
    <w:rsid w:val="000C4F11"/>
    <w:rsid w:val="000D3F43"/>
    <w:rsid w:val="000D77C8"/>
    <w:rsid w:val="000F2BE4"/>
    <w:rsid w:val="000F2C41"/>
    <w:rsid w:val="000F6848"/>
    <w:rsid w:val="0010129F"/>
    <w:rsid w:val="00103607"/>
    <w:rsid w:val="00106F3F"/>
    <w:rsid w:val="001150F0"/>
    <w:rsid w:val="00117E7B"/>
    <w:rsid w:val="00121873"/>
    <w:rsid w:val="00131F21"/>
    <w:rsid w:val="001377CC"/>
    <w:rsid w:val="00147142"/>
    <w:rsid w:val="001544FE"/>
    <w:rsid w:val="00170B76"/>
    <w:rsid w:val="001712EE"/>
    <w:rsid w:val="001734D0"/>
    <w:rsid w:val="00177EEB"/>
    <w:rsid w:val="00192FF2"/>
    <w:rsid w:val="001C0D8D"/>
    <w:rsid w:val="001C3B2C"/>
    <w:rsid w:val="001C6050"/>
    <w:rsid w:val="001C624B"/>
    <w:rsid w:val="001D42F5"/>
    <w:rsid w:val="001E0FF6"/>
    <w:rsid w:val="001F4300"/>
    <w:rsid w:val="0020032C"/>
    <w:rsid w:val="00201E25"/>
    <w:rsid w:val="00226184"/>
    <w:rsid w:val="00233DC7"/>
    <w:rsid w:val="002379D6"/>
    <w:rsid w:val="00242447"/>
    <w:rsid w:val="00245059"/>
    <w:rsid w:val="00246C06"/>
    <w:rsid w:val="00265393"/>
    <w:rsid w:val="00276163"/>
    <w:rsid w:val="0028008E"/>
    <w:rsid w:val="00282810"/>
    <w:rsid w:val="00284042"/>
    <w:rsid w:val="00285A44"/>
    <w:rsid w:val="00290DBF"/>
    <w:rsid w:val="00293120"/>
    <w:rsid w:val="00297C1B"/>
    <w:rsid w:val="00297EAF"/>
    <w:rsid w:val="002A2015"/>
    <w:rsid w:val="002A39D8"/>
    <w:rsid w:val="002B3C6C"/>
    <w:rsid w:val="002B5255"/>
    <w:rsid w:val="002B57DC"/>
    <w:rsid w:val="002C02C4"/>
    <w:rsid w:val="002D0152"/>
    <w:rsid w:val="002D0C3B"/>
    <w:rsid w:val="002E0348"/>
    <w:rsid w:val="002E29E8"/>
    <w:rsid w:val="002E721C"/>
    <w:rsid w:val="002F1E12"/>
    <w:rsid w:val="002F1EE2"/>
    <w:rsid w:val="002F323B"/>
    <w:rsid w:val="003062BD"/>
    <w:rsid w:val="003128AF"/>
    <w:rsid w:val="0031407C"/>
    <w:rsid w:val="00315E77"/>
    <w:rsid w:val="003174D3"/>
    <w:rsid w:val="0033086B"/>
    <w:rsid w:val="003313F5"/>
    <w:rsid w:val="00344F1E"/>
    <w:rsid w:val="00346582"/>
    <w:rsid w:val="0034671E"/>
    <w:rsid w:val="00346C95"/>
    <w:rsid w:val="003700C0"/>
    <w:rsid w:val="0038072A"/>
    <w:rsid w:val="0038091D"/>
    <w:rsid w:val="00392047"/>
    <w:rsid w:val="003A3A8F"/>
    <w:rsid w:val="003B7582"/>
    <w:rsid w:val="003C07F6"/>
    <w:rsid w:val="003C0B27"/>
    <w:rsid w:val="003E3B64"/>
    <w:rsid w:val="003E55DD"/>
    <w:rsid w:val="003E5EE1"/>
    <w:rsid w:val="003E6568"/>
    <w:rsid w:val="003F2F44"/>
    <w:rsid w:val="003F390B"/>
    <w:rsid w:val="00430F6B"/>
    <w:rsid w:val="004366A6"/>
    <w:rsid w:val="00441817"/>
    <w:rsid w:val="0044725A"/>
    <w:rsid w:val="00461677"/>
    <w:rsid w:val="004631BF"/>
    <w:rsid w:val="00473E5B"/>
    <w:rsid w:val="00483E04"/>
    <w:rsid w:val="00484775"/>
    <w:rsid w:val="0048574F"/>
    <w:rsid w:val="00485E77"/>
    <w:rsid w:val="004A2ED9"/>
    <w:rsid w:val="004B3782"/>
    <w:rsid w:val="004B4566"/>
    <w:rsid w:val="004C108F"/>
    <w:rsid w:val="004C1B78"/>
    <w:rsid w:val="004C53D8"/>
    <w:rsid w:val="004C6AED"/>
    <w:rsid w:val="004C6BF7"/>
    <w:rsid w:val="004D1E81"/>
    <w:rsid w:val="004D3E1C"/>
    <w:rsid w:val="004F2543"/>
    <w:rsid w:val="004F4C17"/>
    <w:rsid w:val="004F7A84"/>
    <w:rsid w:val="00504B2C"/>
    <w:rsid w:val="00506B7C"/>
    <w:rsid w:val="0051554C"/>
    <w:rsid w:val="00521049"/>
    <w:rsid w:val="005231FB"/>
    <w:rsid w:val="0052569C"/>
    <w:rsid w:val="0052701F"/>
    <w:rsid w:val="00534CA8"/>
    <w:rsid w:val="005466C9"/>
    <w:rsid w:val="00547674"/>
    <w:rsid w:val="005502D8"/>
    <w:rsid w:val="005513E3"/>
    <w:rsid w:val="005529FB"/>
    <w:rsid w:val="00562487"/>
    <w:rsid w:val="0056644D"/>
    <w:rsid w:val="00567A4A"/>
    <w:rsid w:val="00573960"/>
    <w:rsid w:val="00585211"/>
    <w:rsid w:val="00590C1D"/>
    <w:rsid w:val="00597F9D"/>
    <w:rsid w:val="005A05FA"/>
    <w:rsid w:val="005A33F4"/>
    <w:rsid w:val="005B2FCA"/>
    <w:rsid w:val="005D1BD8"/>
    <w:rsid w:val="005E31A2"/>
    <w:rsid w:val="005F25F6"/>
    <w:rsid w:val="005F66EA"/>
    <w:rsid w:val="00600003"/>
    <w:rsid w:val="00600510"/>
    <w:rsid w:val="0060325B"/>
    <w:rsid w:val="0060515E"/>
    <w:rsid w:val="00622DB0"/>
    <w:rsid w:val="00625B17"/>
    <w:rsid w:val="006365D2"/>
    <w:rsid w:val="0064480C"/>
    <w:rsid w:val="00660094"/>
    <w:rsid w:val="00661B01"/>
    <w:rsid w:val="006639B2"/>
    <w:rsid w:val="00663A58"/>
    <w:rsid w:val="00667E47"/>
    <w:rsid w:val="006718F6"/>
    <w:rsid w:val="00671FCA"/>
    <w:rsid w:val="00673DBE"/>
    <w:rsid w:val="00677627"/>
    <w:rsid w:val="006816DC"/>
    <w:rsid w:val="00686EAF"/>
    <w:rsid w:val="0069028B"/>
    <w:rsid w:val="00693A43"/>
    <w:rsid w:val="006A2010"/>
    <w:rsid w:val="006A725E"/>
    <w:rsid w:val="006B2980"/>
    <w:rsid w:val="006C3CC7"/>
    <w:rsid w:val="006D19A1"/>
    <w:rsid w:val="006F161E"/>
    <w:rsid w:val="006F5ABA"/>
    <w:rsid w:val="00700340"/>
    <w:rsid w:val="0070041F"/>
    <w:rsid w:val="007062CF"/>
    <w:rsid w:val="00710FE7"/>
    <w:rsid w:val="00730AD2"/>
    <w:rsid w:val="00737D82"/>
    <w:rsid w:val="00741E17"/>
    <w:rsid w:val="00741EA2"/>
    <w:rsid w:val="00746748"/>
    <w:rsid w:val="00746857"/>
    <w:rsid w:val="007526D4"/>
    <w:rsid w:val="00755CDE"/>
    <w:rsid w:val="00764CCE"/>
    <w:rsid w:val="0077489C"/>
    <w:rsid w:val="00775BEE"/>
    <w:rsid w:val="007770A4"/>
    <w:rsid w:val="007851FF"/>
    <w:rsid w:val="00785889"/>
    <w:rsid w:val="0079183F"/>
    <w:rsid w:val="00797BDE"/>
    <w:rsid w:val="007A1E83"/>
    <w:rsid w:val="007B7717"/>
    <w:rsid w:val="007D755A"/>
    <w:rsid w:val="007E3D1C"/>
    <w:rsid w:val="007E5F8B"/>
    <w:rsid w:val="007E70A3"/>
    <w:rsid w:val="00801380"/>
    <w:rsid w:val="0080268F"/>
    <w:rsid w:val="00805CAA"/>
    <w:rsid w:val="00810215"/>
    <w:rsid w:val="0081565F"/>
    <w:rsid w:val="00821B6C"/>
    <w:rsid w:val="00824946"/>
    <w:rsid w:val="00835B77"/>
    <w:rsid w:val="008375C1"/>
    <w:rsid w:val="00841711"/>
    <w:rsid w:val="008465C0"/>
    <w:rsid w:val="00850C03"/>
    <w:rsid w:val="008530C2"/>
    <w:rsid w:val="00857DCC"/>
    <w:rsid w:val="0086223C"/>
    <w:rsid w:val="0086426A"/>
    <w:rsid w:val="008667BD"/>
    <w:rsid w:val="008717EE"/>
    <w:rsid w:val="008728F5"/>
    <w:rsid w:val="00875C17"/>
    <w:rsid w:val="00880B38"/>
    <w:rsid w:val="00892C3C"/>
    <w:rsid w:val="00895A02"/>
    <w:rsid w:val="00897379"/>
    <w:rsid w:val="008B0EAA"/>
    <w:rsid w:val="008C031E"/>
    <w:rsid w:val="008D5625"/>
    <w:rsid w:val="008E028D"/>
    <w:rsid w:val="008E1504"/>
    <w:rsid w:val="008E5F28"/>
    <w:rsid w:val="008E764C"/>
    <w:rsid w:val="008F5E2C"/>
    <w:rsid w:val="008F7210"/>
    <w:rsid w:val="00907512"/>
    <w:rsid w:val="00917E52"/>
    <w:rsid w:val="009239B5"/>
    <w:rsid w:val="00937F64"/>
    <w:rsid w:val="00951A20"/>
    <w:rsid w:val="00953562"/>
    <w:rsid w:val="009579B7"/>
    <w:rsid w:val="00961E92"/>
    <w:rsid w:val="009660FE"/>
    <w:rsid w:val="00975A69"/>
    <w:rsid w:val="009770C0"/>
    <w:rsid w:val="0099151F"/>
    <w:rsid w:val="009A10D4"/>
    <w:rsid w:val="009A21FB"/>
    <w:rsid w:val="009A7F2A"/>
    <w:rsid w:val="009B07EE"/>
    <w:rsid w:val="009B28DF"/>
    <w:rsid w:val="009B312A"/>
    <w:rsid w:val="009B481C"/>
    <w:rsid w:val="009B7EFC"/>
    <w:rsid w:val="009C1B66"/>
    <w:rsid w:val="009C2754"/>
    <w:rsid w:val="009C7049"/>
    <w:rsid w:val="009C7D00"/>
    <w:rsid w:val="009D2BEF"/>
    <w:rsid w:val="009E4601"/>
    <w:rsid w:val="009E6BC1"/>
    <w:rsid w:val="00A01E4A"/>
    <w:rsid w:val="00A153F0"/>
    <w:rsid w:val="00A22520"/>
    <w:rsid w:val="00A2608D"/>
    <w:rsid w:val="00A26568"/>
    <w:rsid w:val="00A3076C"/>
    <w:rsid w:val="00A32F3C"/>
    <w:rsid w:val="00A34EA3"/>
    <w:rsid w:val="00A37D18"/>
    <w:rsid w:val="00A40D9A"/>
    <w:rsid w:val="00A42221"/>
    <w:rsid w:val="00A45314"/>
    <w:rsid w:val="00A47A26"/>
    <w:rsid w:val="00A54616"/>
    <w:rsid w:val="00A57F7D"/>
    <w:rsid w:val="00A6280B"/>
    <w:rsid w:val="00A75B1D"/>
    <w:rsid w:val="00A81282"/>
    <w:rsid w:val="00A84401"/>
    <w:rsid w:val="00AA4B2F"/>
    <w:rsid w:val="00AB5A8F"/>
    <w:rsid w:val="00AB6E16"/>
    <w:rsid w:val="00AC5CCD"/>
    <w:rsid w:val="00AC5E97"/>
    <w:rsid w:val="00AD26D5"/>
    <w:rsid w:val="00AD37B0"/>
    <w:rsid w:val="00AD4E52"/>
    <w:rsid w:val="00AD6033"/>
    <w:rsid w:val="00AD640F"/>
    <w:rsid w:val="00AE06BD"/>
    <w:rsid w:val="00AF641D"/>
    <w:rsid w:val="00AF77E0"/>
    <w:rsid w:val="00B003EE"/>
    <w:rsid w:val="00B00692"/>
    <w:rsid w:val="00B02058"/>
    <w:rsid w:val="00B1392A"/>
    <w:rsid w:val="00B1567A"/>
    <w:rsid w:val="00B17535"/>
    <w:rsid w:val="00B235C7"/>
    <w:rsid w:val="00B23F8C"/>
    <w:rsid w:val="00B268E5"/>
    <w:rsid w:val="00B35854"/>
    <w:rsid w:val="00B4030A"/>
    <w:rsid w:val="00B40DF4"/>
    <w:rsid w:val="00B43A2E"/>
    <w:rsid w:val="00B44E31"/>
    <w:rsid w:val="00B46EBF"/>
    <w:rsid w:val="00B66A6E"/>
    <w:rsid w:val="00B6722F"/>
    <w:rsid w:val="00B75328"/>
    <w:rsid w:val="00B7641B"/>
    <w:rsid w:val="00B965E6"/>
    <w:rsid w:val="00BB3304"/>
    <w:rsid w:val="00BB63BA"/>
    <w:rsid w:val="00BC4246"/>
    <w:rsid w:val="00BD3A35"/>
    <w:rsid w:val="00BD5D3D"/>
    <w:rsid w:val="00BD7FAA"/>
    <w:rsid w:val="00BF25F6"/>
    <w:rsid w:val="00BF690F"/>
    <w:rsid w:val="00C029CF"/>
    <w:rsid w:val="00C12F2C"/>
    <w:rsid w:val="00C13133"/>
    <w:rsid w:val="00C21AFE"/>
    <w:rsid w:val="00C21DD2"/>
    <w:rsid w:val="00C22183"/>
    <w:rsid w:val="00C23448"/>
    <w:rsid w:val="00C24D2A"/>
    <w:rsid w:val="00C37BF0"/>
    <w:rsid w:val="00C50420"/>
    <w:rsid w:val="00C61F46"/>
    <w:rsid w:val="00C7488D"/>
    <w:rsid w:val="00C87D31"/>
    <w:rsid w:val="00C87F58"/>
    <w:rsid w:val="00C92E23"/>
    <w:rsid w:val="00C9440C"/>
    <w:rsid w:val="00CA7151"/>
    <w:rsid w:val="00CB2AC8"/>
    <w:rsid w:val="00CB5418"/>
    <w:rsid w:val="00CB6193"/>
    <w:rsid w:val="00CC03B2"/>
    <w:rsid w:val="00CC3852"/>
    <w:rsid w:val="00CC4148"/>
    <w:rsid w:val="00CE6C17"/>
    <w:rsid w:val="00D00C9E"/>
    <w:rsid w:val="00D03CD8"/>
    <w:rsid w:val="00D1083F"/>
    <w:rsid w:val="00D30947"/>
    <w:rsid w:val="00D30DAE"/>
    <w:rsid w:val="00D40A84"/>
    <w:rsid w:val="00D44C08"/>
    <w:rsid w:val="00D50764"/>
    <w:rsid w:val="00D50EE1"/>
    <w:rsid w:val="00D53D7E"/>
    <w:rsid w:val="00D74983"/>
    <w:rsid w:val="00D871AA"/>
    <w:rsid w:val="00D90263"/>
    <w:rsid w:val="00D90FFE"/>
    <w:rsid w:val="00D949A9"/>
    <w:rsid w:val="00D953DC"/>
    <w:rsid w:val="00DB5391"/>
    <w:rsid w:val="00DB6CA4"/>
    <w:rsid w:val="00DC51D5"/>
    <w:rsid w:val="00DF254D"/>
    <w:rsid w:val="00DF2903"/>
    <w:rsid w:val="00DF2FA3"/>
    <w:rsid w:val="00DF67D7"/>
    <w:rsid w:val="00E05A2E"/>
    <w:rsid w:val="00E333CB"/>
    <w:rsid w:val="00E34CB2"/>
    <w:rsid w:val="00E36B1A"/>
    <w:rsid w:val="00E37AF3"/>
    <w:rsid w:val="00E41CA6"/>
    <w:rsid w:val="00E51EFA"/>
    <w:rsid w:val="00E53BFC"/>
    <w:rsid w:val="00E55AED"/>
    <w:rsid w:val="00E70531"/>
    <w:rsid w:val="00E74377"/>
    <w:rsid w:val="00E7480B"/>
    <w:rsid w:val="00E83EE5"/>
    <w:rsid w:val="00EA1591"/>
    <w:rsid w:val="00EA2E71"/>
    <w:rsid w:val="00EA42FC"/>
    <w:rsid w:val="00EB0A5C"/>
    <w:rsid w:val="00EB1BB5"/>
    <w:rsid w:val="00EB4889"/>
    <w:rsid w:val="00EC1354"/>
    <w:rsid w:val="00EC384E"/>
    <w:rsid w:val="00EC711B"/>
    <w:rsid w:val="00EE636F"/>
    <w:rsid w:val="00EE689E"/>
    <w:rsid w:val="00EF4E12"/>
    <w:rsid w:val="00EF6ECB"/>
    <w:rsid w:val="00F0013E"/>
    <w:rsid w:val="00F02B85"/>
    <w:rsid w:val="00F0379C"/>
    <w:rsid w:val="00F06AE9"/>
    <w:rsid w:val="00F06D40"/>
    <w:rsid w:val="00F169F5"/>
    <w:rsid w:val="00F23431"/>
    <w:rsid w:val="00F301D2"/>
    <w:rsid w:val="00F361C4"/>
    <w:rsid w:val="00F45DC5"/>
    <w:rsid w:val="00F51919"/>
    <w:rsid w:val="00F52757"/>
    <w:rsid w:val="00F6099E"/>
    <w:rsid w:val="00F62C99"/>
    <w:rsid w:val="00F70538"/>
    <w:rsid w:val="00FA035F"/>
    <w:rsid w:val="00FA48C2"/>
    <w:rsid w:val="00FE0285"/>
    <w:rsid w:val="00FE4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A99652"/>
  <w15:docId w15:val="{BFCC24D3-009F-4A34-BBD1-367DC8A8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1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61B01"/>
    <w:rPr>
      <w:sz w:val="16"/>
      <w:szCs w:val="16"/>
    </w:rPr>
  </w:style>
  <w:style w:type="paragraph" w:styleId="CommentText">
    <w:name w:val="annotation text"/>
    <w:basedOn w:val="Normal"/>
    <w:link w:val="CommentTextChar"/>
    <w:semiHidden/>
    <w:unhideWhenUsed/>
    <w:rsid w:val="00661B01"/>
    <w:pPr>
      <w:spacing w:line="240" w:lineRule="auto"/>
    </w:pPr>
    <w:rPr>
      <w:sz w:val="20"/>
      <w:szCs w:val="20"/>
    </w:rPr>
  </w:style>
  <w:style w:type="character" w:customStyle="1" w:styleId="CommentTextChar">
    <w:name w:val="Comment Text Char"/>
    <w:basedOn w:val="DefaultParagraphFont"/>
    <w:link w:val="CommentText"/>
    <w:uiPriority w:val="99"/>
    <w:semiHidden/>
    <w:rsid w:val="00661B01"/>
    <w:rPr>
      <w:sz w:val="20"/>
      <w:szCs w:val="20"/>
    </w:rPr>
  </w:style>
  <w:style w:type="paragraph" w:styleId="CommentSubject">
    <w:name w:val="annotation subject"/>
    <w:basedOn w:val="CommentText"/>
    <w:next w:val="CommentText"/>
    <w:link w:val="CommentSubjectChar"/>
    <w:uiPriority w:val="99"/>
    <w:semiHidden/>
    <w:unhideWhenUsed/>
    <w:rsid w:val="00661B01"/>
    <w:rPr>
      <w:b/>
      <w:bCs/>
    </w:rPr>
  </w:style>
  <w:style w:type="character" w:customStyle="1" w:styleId="CommentSubjectChar">
    <w:name w:val="Comment Subject Char"/>
    <w:basedOn w:val="CommentTextChar"/>
    <w:link w:val="CommentSubject"/>
    <w:uiPriority w:val="99"/>
    <w:semiHidden/>
    <w:rsid w:val="00661B01"/>
    <w:rPr>
      <w:b/>
      <w:bCs/>
      <w:sz w:val="20"/>
      <w:szCs w:val="20"/>
    </w:rPr>
  </w:style>
  <w:style w:type="paragraph" w:styleId="BalloonText">
    <w:name w:val="Balloon Text"/>
    <w:basedOn w:val="Normal"/>
    <w:link w:val="BalloonTextChar"/>
    <w:uiPriority w:val="99"/>
    <w:semiHidden/>
    <w:unhideWhenUsed/>
    <w:rsid w:val="00661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B01"/>
    <w:rPr>
      <w:rFonts w:ascii="Tahoma" w:hAnsi="Tahoma" w:cs="Tahoma"/>
      <w:sz w:val="16"/>
      <w:szCs w:val="16"/>
    </w:rPr>
  </w:style>
  <w:style w:type="paragraph" w:styleId="Revision">
    <w:name w:val="Revision"/>
    <w:hidden/>
    <w:uiPriority w:val="99"/>
    <w:semiHidden/>
    <w:rsid w:val="0052701F"/>
    <w:pPr>
      <w:spacing w:after="0" w:line="240" w:lineRule="auto"/>
    </w:pPr>
  </w:style>
  <w:style w:type="character" w:styleId="Hyperlink">
    <w:name w:val="Hyperlink"/>
    <w:rsid w:val="00504B2C"/>
    <w:rPr>
      <w:color w:val="0000FF"/>
      <w:u w:val="single"/>
    </w:rPr>
  </w:style>
  <w:style w:type="paragraph" w:styleId="BodyText2">
    <w:name w:val="Body Text 2"/>
    <w:basedOn w:val="Normal"/>
    <w:link w:val="BodyText2Char"/>
    <w:rsid w:val="00504B2C"/>
    <w:pPr>
      <w:widowControl w:val="0"/>
      <w:overflowPunct w:val="0"/>
      <w:adjustRightInd w:val="0"/>
      <w:spacing w:after="0" w:line="360" w:lineRule="auto"/>
      <w:jc w:val="both"/>
    </w:pPr>
    <w:rPr>
      <w:rFonts w:ascii="Times New Roman" w:eastAsia="Times New Roman" w:hAnsi="Times New Roman" w:cs="Times New Roman"/>
      <w:b/>
      <w:bCs/>
      <w:kern w:val="28"/>
      <w:sz w:val="28"/>
      <w:szCs w:val="32"/>
    </w:rPr>
  </w:style>
  <w:style w:type="character" w:customStyle="1" w:styleId="BodyText2Char">
    <w:name w:val="Body Text 2 Char"/>
    <w:basedOn w:val="DefaultParagraphFont"/>
    <w:link w:val="BodyText2"/>
    <w:rsid w:val="00504B2C"/>
    <w:rPr>
      <w:rFonts w:ascii="Times New Roman" w:eastAsia="Times New Roman" w:hAnsi="Times New Roman" w:cs="Times New Roman"/>
      <w:b/>
      <w:bCs/>
      <w:kern w:val="28"/>
      <w:sz w:val="28"/>
      <w:szCs w:val="32"/>
      <w:lang w:eastAsia="en-GB"/>
    </w:rPr>
  </w:style>
  <w:style w:type="paragraph" w:styleId="BodyText">
    <w:name w:val="Body Text"/>
    <w:basedOn w:val="Normal"/>
    <w:link w:val="BodyTextChar"/>
    <w:rsid w:val="00504B2C"/>
    <w:pPr>
      <w:widowControl w:val="0"/>
      <w:overflowPunct w:val="0"/>
      <w:adjustRightInd w:val="0"/>
      <w:spacing w:after="120" w:line="240" w:lineRule="auto"/>
    </w:pPr>
    <w:rPr>
      <w:rFonts w:ascii="Times New Roman" w:eastAsia="Times New Roman" w:hAnsi="Times New Roman" w:cs="Times New Roman"/>
      <w:kern w:val="28"/>
      <w:sz w:val="24"/>
      <w:szCs w:val="24"/>
    </w:rPr>
  </w:style>
  <w:style w:type="character" w:customStyle="1" w:styleId="BodyTextChar">
    <w:name w:val="Body Text Char"/>
    <w:basedOn w:val="DefaultParagraphFont"/>
    <w:link w:val="BodyText"/>
    <w:rsid w:val="00504B2C"/>
    <w:rPr>
      <w:rFonts w:ascii="Times New Roman" w:eastAsia="Times New Roman" w:hAnsi="Times New Roman" w:cs="Times New Roman"/>
      <w:kern w:val="28"/>
      <w:sz w:val="24"/>
      <w:szCs w:val="24"/>
      <w:lang w:eastAsia="en-GB"/>
    </w:rPr>
  </w:style>
  <w:style w:type="paragraph" w:styleId="Caption">
    <w:name w:val="caption"/>
    <w:basedOn w:val="Normal"/>
    <w:next w:val="Normal"/>
    <w:uiPriority w:val="35"/>
    <w:unhideWhenUsed/>
    <w:qFormat/>
    <w:rsid w:val="00A32F3C"/>
    <w:pPr>
      <w:spacing w:line="240" w:lineRule="auto"/>
    </w:pPr>
    <w:rPr>
      <w:b/>
      <w:bCs/>
      <w:color w:val="4F81BD" w:themeColor="accent1"/>
      <w:sz w:val="18"/>
      <w:szCs w:val="18"/>
    </w:rPr>
  </w:style>
  <w:style w:type="paragraph" w:styleId="ListParagraph">
    <w:name w:val="List Paragraph"/>
    <w:basedOn w:val="Normal"/>
    <w:uiPriority w:val="34"/>
    <w:qFormat/>
    <w:rsid w:val="00A75B1D"/>
    <w:pPr>
      <w:ind w:left="720"/>
      <w:contextualSpacing/>
    </w:pPr>
  </w:style>
  <w:style w:type="table" w:customStyle="1" w:styleId="PlainTable21">
    <w:name w:val="Plain Table 21"/>
    <w:basedOn w:val="TableNormal"/>
    <w:uiPriority w:val="42"/>
    <w:rsid w:val="002A39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2E721C"/>
  </w:style>
  <w:style w:type="character" w:styleId="FollowedHyperlink">
    <w:name w:val="FollowedHyperlink"/>
    <w:basedOn w:val="DefaultParagraphFont"/>
    <w:uiPriority w:val="99"/>
    <w:semiHidden/>
    <w:unhideWhenUsed/>
    <w:rsid w:val="00DC51D5"/>
    <w:rPr>
      <w:color w:val="800080" w:themeColor="followedHyperlink"/>
      <w:u w:val="single"/>
    </w:rPr>
  </w:style>
  <w:style w:type="character" w:customStyle="1" w:styleId="mb">
    <w:name w:val="mb"/>
    <w:basedOn w:val="DefaultParagraphFont"/>
    <w:rsid w:val="00441817"/>
  </w:style>
  <w:style w:type="paragraph" w:styleId="Header">
    <w:name w:val="header"/>
    <w:basedOn w:val="Normal"/>
    <w:link w:val="HeaderChar"/>
    <w:uiPriority w:val="99"/>
    <w:unhideWhenUsed/>
    <w:rsid w:val="00C74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88D"/>
  </w:style>
  <w:style w:type="paragraph" w:styleId="Footer">
    <w:name w:val="footer"/>
    <w:basedOn w:val="Normal"/>
    <w:link w:val="FooterChar"/>
    <w:uiPriority w:val="99"/>
    <w:unhideWhenUsed/>
    <w:rsid w:val="00C74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4254">
      <w:bodyDiv w:val="1"/>
      <w:marLeft w:val="0"/>
      <w:marRight w:val="0"/>
      <w:marTop w:val="0"/>
      <w:marBottom w:val="0"/>
      <w:divBdr>
        <w:top w:val="none" w:sz="0" w:space="0" w:color="auto"/>
        <w:left w:val="none" w:sz="0" w:space="0" w:color="auto"/>
        <w:bottom w:val="none" w:sz="0" w:space="0" w:color="auto"/>
        <w:right w:val="none" w:sz="0" w:space="0" w:color="auto"/>
      </w:divBdr>
    </w:div>
    <w:div w:id="1520705011">
      <w:bodyDiv w:val="1"/>
      <w:marLeft w:val="0"/>
      <w:marRight w:val="0"/>
      <w:marTop w:val="0"/>
      <w:marBottom w:val="0"/>
      <w:divBdr>
        <w:top w:val="none" w:sz="0" w:space="0" w:color="auto"/>
        <w:left w:val="none" w:sz="0" w:space="0" w:color="auto"/>
        <w:bottom w:val="none" w:sz="0" w:space="0" w:color="auto"/>
        <w:right w:val="none" w:sz="0" w:space="0" w:color="auto"/>
      </w:divBdr>
    </w:div>
    <w:div w:id="1903712381">
      <w:bodyDiv w:val="1"/>
      <w:marLeft w:val="0"/>
      <w:marRight w:val="0"/>
      <w:marTop w:val="0"/>
      <w:marBottom w:val="0"/>
      <w:divBdr>
        <w:top w:val="none" w:sz="0" w:space="0" w:color="auto"/>
        <w:left w:val="none" w:sz="0" w:space="0" w:color="auto"/>
        <w:bottom w:val="none" w:sz="0" w:space="0" w:color="auto"/>
        <w:right w:val="none" w:sz="0" w:space="0" w:color="auto"/>
      </w:divBdr>
    </w:div>
    <w:div w:id="191774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ldes-Hernan@ed.ac.uk" TargetMode="External"/><Relationship Id="rId13" Type="http://schemas.openxmlformats.org/officeDocument/2006/relationships/hyperlink" Target="http://www.disconnectedmind.ed.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ttishcrucible.org.uk/about-crucibl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v.uk/government/statistics/national-diet-and-nutrition-survey-results-from-years-1-to-4-combined-of-the-rolling-programme-for-2008-and-2009-to-2011-and-2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eesurfer.net/" TargetMode="External"/><Relationship Id="rId5" Type="http://schemas.openxmlformats.org/officeDocument/2006/relationships/webSettings" Target="webSettings.xml"/><Relationship Id="rId15" Type="http://schemas.openxmlformats.org/officeDocument/2006/relationships/hyperlink" Target="http://www.sbirc.ed.ac.uk/" TargetMode="External"/><Relationship Id="rId10" Type="http://schemas.openxmlformats.org/officeDocument/2006/relationships/hyperlink" Target="http://www.sourceforge.net/projects/bric193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istol.ac.uk/alspac/" TargetMode="External"/><Relationship Id="rId14" Type="http://schemas.openxmlformats.org/officeDocument/2006/relationships/hyperlink" Target="http://www.ccace.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03ECC-8A3C-492D-BCFE-5E14873F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13435</Words>
  <Characters>76580</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89836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emilieaspray</dc:creator>
  <cp:lastModifiedBy>VALDES HERNANDEZ Maria</cp:lastModifiedBy>
  <cp:revision>4</cp:revision>
  <cp:lastPrinted>2016-04-21T08:35:00Z</cp:lastPrinted>
  <dcterms:created xsi:type="dcterms:W3CDTF">2017-05-12T17:04:00Z</dcterms:created>
  <dcterms:modified xsi:type="dcterms:W3CDTF">2017-05-12T17:52:00Z</dcterms:modified>
</cp:coreProperties>
</file>