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00D7" w14:textId="77777777" w:rsidR="00B7380F" w:rsidRDefault="0030729C" w:rsidP="00505C99">
      <w:pPr>
        <w:spacing w:line="360" w:lineRule="auto"/>
        <w:jc w:val="center"/>
        <w:rPr>
          <w:b/>
          <w:sz w:val="24"/>
          <w:szCs w:val="24"/>
        </w:rPr>
      </w:pPr>
      <w:r w:rsidRPr="00505C99">
        <w:rPr>
          <w:b/>
          <w:sz w:val="24"/>
          <w:szCs w:val="24"/>
        </w:rPr>
        <w:t>Private international law concerning children in the UK after Brexit: comparing Hague Treaty law with EU Regulations</w:t>
      </w:r>
    </w:p>
    <w:p w14:paraId="75DD9F3C" w14:textId="76327100" w:rsidR="0030729C" w:rsidRPr="00505C99" w:rsidRDefault="00B7380F" w:rsidP="00505C99">
      <w:pPr>
        <w:spacing w:line="360" w:lineRule="auto"/>
        <w:jc w:val="center"/>
        <w:rPr>
          <w:b/>
          <w:sz w:val="24"/>
          <w:szCs w:val="24"/>
        </w:rPr>
      </w:pPr>
      <w:r>
        <w:rPr>
          <w:b/>
          <w:sz w:val="24"/>
          <w:szCs w:val="24"/>
        </w:rPr>
        <w:t>Paul Beaumont*</w:t>
      </w:r>
    </w:p>
    <w:p w14:paraId="5232AD71" w14:textId="77777777" w:rsidR="003D5C75" w:rsidRDefault="003D5C75" w:rsidP="00505C99">
      <w:pPr>
        <w:spacing w:line="360" w:lineRule="auto"/>
        <w:jc w:val="center"/>
        <w:rPr>
          <w:b/>
          <w:sz w:val="24"/>
          <w:szCs w:val="24"/>
        </w:rPr>
      </w:pPr>
    </w:p>
    <w:p w14:paraId="2726A8C0" w14:textId="77777777" w:rsidR="00CD2B58" w:rsidRDefault="00CD2B58" w:rsidP="00505C99">
      <w:pPr>
        <w:spacing w:line="360" w:lineRule="auto"/>
        <w:jc w:val="center"/>
        <w:rPr>
          <w:b/>
          <w:sz w:val="24"/>
          <w:szCs w:val="24"/>
        </w:rPr>
      </w:pPr>
    </w:p>
    <w:p w14:paraId="11249888" w14:textId="2F3189D2" w:rsidR="00CD2B58" w:rsidRPr="00505C99" w:rsidRDefault="00CD2B58" w:rsidP="00CD2B58">
      <w:pPr>
        <w:spacing w:line="360" w:lineRule="auto"/>
        <w:rPr>
          <w:b/>
          <w:sz w:val="24"/>
          <w:szCs w:val="24"/>
        </w:rPr>
      </w:pPr>
      <w:r w:rsidRPr="0042409C">
        <w:rPr>
          <w:rFonts w:ascii="Rdg Swift" w:hAnsi="Rdg Swift"/>
          <w:b/>
          <w:i/>
        </w:rPr>
        <w:t xml:space="preserve">This is the final manuscript for an article that has been accepted for publication in Child and Family Quarterly in Issue </w:t>
      </w:r>
      <w:r>
        <w:rPr>
          <w:rFonts w:ascii="Rdg Swift" w:hAnsi="Rdg Swift"/>
          <w:b/>
          <w:i/>
        </w:rPr>
        <w:t>3</w:t>
      </w:r>
      <w:r w:rsidRPr="0042409C">
        <w:rPr>
          <w:rFonts w:ascii="Rdg Swift" w:hAnsi="Rdg Swift"/>
          <w:b/>
          <w:i/>
        </w:rPr>
        <w:t xml:space="preserve">, Vol </w:t>
      </w:r>
      <w:r>
        <w:rPr>
          <w:rFonts w:ascii="Rdg Swift" w:hAnsi="Rdg Swift"/>
          <w:b/>
          <w:i/>
        </w:rPr>
        <w:t>29</w:t>
      </w:r>
      <w:r w:rsidRPr="0042409C">
        <w:rPr>
          <w:rFonts w:ascii="Rdg Swift" w:hAnsi="Rdg Swift"/>
          <w:b/>
          <w:i/>
        </w:rPr>
        <w:t>, 201</w:t>
      </w:r>
      <w:r>
        <w:rPr>
          <w:rFonts w:ascii="Rdg Swift" w:hAnsi="Rdg Swift"/>
          <w:b/>
          <w:i/>
        </w:rPr>
        <w:t>7</w:t>
      </w:r>
      <w:r w:rsidRPr="0042409C">
        <w:rPr>
          <w:rFonts w:ascii="Rdg Swift" w:hAnsi="Rdg Swift"/>
          <w:b/>
          <w:i/>
        </w:rPr>
        <w:t xml:space="preserve">. The final published version of this article can be found at </w:t>
      </w:r>
      <w:hyperlink r:id="rId8" w:history="1">
        <w:r w:rsidRPr="00A639F0">
          <w:rPr>
            <w:rStyle w:val="Hyperlink"/>
            <w:rFonts w:ascii="Rdg Swift" w:hAnsi="Rdg Swift"/>
            <w:b/>
            <w:i/>
          </w:rPr>
          <w:t>http://www.familylaw.co.uk/news_and_comment/private-international-law-concerning-children-in-the-uk-after-brexit-comparing-hague-treaty-law-with-eu-regulations</w:t>
        </w:r>
      </w:hyperlink>
      <w:r>
        <w:rPr>
          <w:rFonts w:ascii="Rdg Swift" w:hAnsi="Rdg Swift"/>
          <w:b/>
          <w:i/>
        </w:rPr>
        <w:t xml:space="preserve"> </w:t>
      </w:r>
      <w:r w:rsidRPr="0042409C">
        <w:rPr>
          <w:rFonts w:ascii="Rdg Swift" w:hAnsi="Rdg Swift"/>
          <w:b/>
          <w:i/>
        </w:rPr>
        <w:t xml:space="preserve">and will be made publicly available </w:t>
      </w:r>
      <w:r>
        <w:rPr>
          <w:rFonts w:ascii="Rdg Swift" w:hAnsi="Rdg Swift"/>
          <w:b/>
          <w:i/>
        </w:rPr>
        <w:t>24</w:t>
      </w:r>
      <w:r w:rsidRPr="0042409C">
        <w:rPr>
          <w:rFonts w:ascii="Rdg Swift" w:hAnsi="Rdg Swift"/>
          <w:b/>
          <w:i/>
        </w:rPr>
        <w:t xml:space="preserve"> months after its publication date</w:t>
      </w:r>
      <w:r>
        <w:rPr>
          <w:rFonts w:ascii="Rdg Swift" w:hAnsi="Rdg Swift"/>
          <w:b/>
          <w:i/>
        </w:rPr>
        <w:t>.</w:t>
      </w:r>
    </w:p>
    <w:p w14:paraId="1A8116FB" w14:textId="77777777" w:rsidR="00CD2B58" w:rsidRDefault="00CD2B58" w:rsidP="00505C99">
      <w:pPr>
        <w:spacing w:line="360" w:lineRule="auto"/>
        <w:rPr>
          <w:b/>
          <w:sz w:val="24"/>
          <w:szCs w:val="24"/>
        </w:rPr>
      </w:pPr>
    </w:p>
    <w:p w14:paraId="7D34B093" w14:textId="77777777" w:rsidR="003D5C75" w:rsidRPr="00505C99" w:rsidRDefault="003D5C75" w:rsidP="00505C99">
      <w:pPr>
        <w:spacing w:line="360" w:lineRule="auto"/>
        <w:rPr>
          <w:b/>
          <w:sz w:val="24"/>
          <w:szCs w:val="24"/>
        </w:rPr>
      </w:pPr>
      <w:r w:rsidRPr="00505C99">
        <w:rPr>
          <w:b/>
          <w:sz w:val="24"/>
          <w:szCs w:val="24"/>
        </w:rPr>
        <w:t>Abstract</w:t>
      </w:r>
    </w:p>
    <w:p w14:paraId="2AB20F9C" w14:textId="021F030F" w:rsidR="003D5C75" w:rsidRPr="00505C99" w:rsidRDefault="00D837BE" w:rsidP="00505C99">
      <w:pPr>
        <w:spacing w:line="360" w:lineRule="auto"/>
        <w:rPr>
          <w:sz w:val="24"/>
          <w:szCs w:val="24"/>
        </w:rPr>
      </w:pPr>
      <w:bookmarkStart w:id="0" w:name="_GoBack"/>
      <w:bookmarkEnd w:id="0"/>
      <w:r w:rsidRPr="00505C99">
        <w:rPr>
          <w:sz w:val="24"/>
          <w:szCs w:val="24"/>
        </w:rPr>
        <w:t>P</w:t>
      </w:r>
      <w:r w:rsidR="003D5C75" w:rsidRPr="00505C99">
        <w:rPr>
          <w:sz w:val="24"/>
          <w:szCs w:val="24"/>
        </w:rPr>
        <w:t xml:space="preserve">rivate international law applicable to children in intra-EU cases in the UK under EU law (the Brussels </w:t>
      </w:r>
      <w:proofErr w:type="spellStart"/>
      <w:r w:rsidR="003D5C75" w:rsidRPr="00505C99">
        <w:rPr>
          <w:sz w:val="24"/>
          <w:szCs w:val="24"/>
        </w:rPr>
        <w:t>IIa</w:t>
      </w:r>
      <w:proofErr w:type="spellEnd"/>
      <w:r w:rsidR="003D5C75" w:rsidRPr="00505C99">
        <w:rPr>
          <w:sz w:val="24"/>
          <w:szCs w:val="24"/>
        </w:rPr>
        <w:t xml:space="preserve"> and Maintenance Regulations) </w:t>
      </w:r>
      <w:r w:rsidRPr="00505C99">
        <w:rPr>
          <w:sz w:val="24"/>
          <w:szCs w:val="24"/>
        </w:rPr>
        <w:t xml:space="preserve">is compared </w:t>
      </w:r>
      <w:r w:rsidR="003D5C75" w:rsidRPr="00505C99">
        <w:rPr>
          <w:sz w:val="24"/>
          <w:szCs w:val="24"/>
        </w:rPr>
        <w:t xml:space="preserve">with the regime that would apply to such cases if the UK were to fall back on the </w:t>
      </w:r>
      <w:r w:rsidR="006F5C24" w:rsidRPr="00505C99">
        <w:rPr>
          <w:sz w:val="24"/>
          <w:szCs w:val="24"/>
        </w:rPr>
        <w:t xml:space="preserve">international </w:t>
      </w:r>
      <w:r w:rsidR="003D5C75" w:rsidRPr="00505C99">
        <w:rPr>
          <w:sz w:val="24"/>
          <w:szCs w:val="24"/>
        </w:rPr>
        <w:t xml:space="preserve">treaty regime governing the UK and the EU after Brexit.  The treaty regime is found in </w:t>
      </w:r>
      <w:proofErr w:type="gramStart"/>
      <w:r w:rsidR="003D5C75" w:rsidRPr="00505C99">
        <w:rPr>
          <w:sz w:val="24"/>
          <w:szCs w:val="24"/>
        </w:rPr>
        <w:t>the</w:t>
      </w:r>
      <w:proofErr w:type="gramEnd"/>
      <w:r w:rsidR="003D5C75" w:rsidRPr="00505C99">
        <w:rPr>
          <w:sz w:val="24"/>
          <w:szCs w:val="24"/>
        </w:rPr>
        <w:t xml:space="preserve"> Hague Conference on Private International Law’s Conventions on Child Abduction (1980), Child Protection (1996) and Maintenance (2007). </w:t>
      </w:r>
      <w:r w:rsidRPr="00505C99">
        <w:rPr>
          <w:sz w:val="24"/>
          <w:szCs w:val="24"/>
        </w:rPr>
        <w:t>T</w:t>
      </w:r>
      <w:r w:rsidR="003D5C75" w:rsidRPr="00505C99">
        <w:rPr>
          <w:sz w:val="24"/>
          <w:szCs w:val="24"/>
        </w:rPr>
        <w:t xml:space="preserve">here is no </w:t>
      </w:r>
      <w:r w:rsidR="005B7A4C" w:rsidRPr="00505C99">
        <w:rPr>
          <w:sz w:val="24"/>
          <w:szCs w:val="24"/>
        </w:rPr>
        <w:t>‘</w:t>
      </w:r>
      <w:r w:rsidRPr="00505C99">
        <w:rPr>
          <w:sz w:val="24"/>
          <w:szCs w:val="24"/>
        </w:rPr>
        <w:t>cliff-edge</w:t>
      </w:r>
      <w:r w:rsidR="005B7A4C" w:rsidRPr="00505C99">
        <w:rPr>
          <w:sz w:val="24"/>
          <w:szCs w:val="24"/>
        </w:rPr>
        <w:t>’</w:t>
      </w:r>
      <w:r w:rsidR="003D5C75" w:rsidRPr="00505C99">
        <w:rPr>
          <w:sz w:val="24"/>
          <w:szCs w:val="24"/>
        </w:rPr>
        <w:t xml:space="preserve"> because the international regime is very sophisticated and can be regarded from a UK perspective as being at least as good as the EU regime.</w:t>
      </w:r>
      <w:r w:rsidR="001C6780" w:rsidRPr="00505C99">
        <w:rPr>
          <w:sz w:val="24"/>
          <w:szCs w:val="24"/>
        </w:rPr>
        <w:t xml:space="preserve"> In particular the international regime has the merit of everyone in the UK having to</w:t>
      </w:r>
      <w:r w:rsidRPr="00505C99">
        <w:rPr>
          <w:sz w:val="24"/>
          <w:szCs w:val="24"/>
        </w:rPr>
        <w:t xml:space="preserve"> master</w:t>
      </w:r>
      <w:r w:rsidR="001C6780" w:rsidRPr="00505C99">
        <w:rPr>
          <w:sz w:val="24"/>
          <w:szCs w:val="24"/>
        </w:rPr>
        <w:t xml:space="preserve"> one </w:t>
      </w:r>
      <w:r w:rsidR="002A7C8C" w:rsidRPr="00505C99">
        <w:rPr>
          <w:sz w:val="24"/>
          <w:szCs w:val="24"/>
        </w:rPr>
        <w:t>fewer</w:t>
      </w:r>
      <w:r w:rsidR="001C6780" w:rsidRPr="00505C99">
        <w:rPr>
          <w:sz w:val="24"/>
          <w:szCs w:val="24"/>
        </w:rPr>
        <w:t xml:space="preserve"> legal regime (because the international regime for non-UK/EU cases </w:t>
      </w:r>
      <w:r w:rsidRPr="00505C99">
        <w:rPr>
          <w:sz w:val="24"/>
          <w:szCs w:val="24"/>
        </w:rPr>
        <w:t xml:space="preserve">exists </w:t>
      </w:r>
      <w:r w:rsidR="001C6780" w:rsidRPr="00505C99">
        <w:rPr>
          <w:sz w:val="24"/>
          <w:szCs w:val="24"/>
        </w:rPr>
        <w:t xml:space="preserve">anyway). The international regime avoids the unsatisfactory EU </w:t>
      </w:r>
      <w:r w:rsidR="005B7A4C" w:rsidRPr="00505C99">
        <w:rPr>
          <w:sz w:val="24"/>
          <w:szCs w:val="24"/>
        </w:rPr>
        <w:t>‘</w:t>
      </w:r>
      <w:r w:rsidR="001C6780" w:rsidRPr="00505C99">
        <w:rPr>
          <w:sz w:val="24"/>
          <w:szCs w:val="24"/>
        </w:rPr>
        <w:t>override</w:t>
      </w:r>
      <w:r w:rsidR="005B7A4C" w:rsidRPr="00505C99">
        <w:rPr>
          <w:sz w:val="24"/>
          <w:szCs w:val="24"/>
        </w:rPr>
        <w:t>’</w:t>
      </w:r>
      <w:r w:rsidR="001C6780" w:rsidRPr="00505C99">
        <w:rPr>
          <w:sz w:val="24"/>
          <w:szCs w:val="24"/>
        </w:rPr>
        <w:t xml:space="preserve"> mechanism in child abduction cases, the overly rigid approach to recognition and enforcement of maintenance and access orders coming from other EU States</w:t>
      </w:r>
      <w:r w:rsidR="003D5C75" w:rsidRPr="00505C99">
        <w:rPr>
          <w:sz w:val="24"/>
          <w:szCs w:val="24"/>
        </w:rPr>
        <w:t xml:space="preserve"> </w:t>
      </w:r>
      <w:r w:rsidR="001C6780" w:rsidRPr="00505C99">
        <w:rPr>
          <w:sz w:val="24"/>
          <w:szCs w:val="24"/>
        </w:rPr>
        <w:t xml:space="preserve">and the restrictive approach to declining or transferring jurisdiction in relation to third States. </w:t>
      </w:r>
      <w:r w:rsidR="005B7A4C" w:rsidRPr="00505C99">
        <w:rPr>
          <w:sz w:val="24"/>
          <w:szCs w:val="24"/>
        </w:rPr>
        <w:t>However, t</w:t>
      </w:r>
      <w:r w:rsidR="001C6780" w:rsidRPr="00505C99">
        <w:rPr>
          <w:sz w:val="24"/>
          <w:szCs w:val="24"/>
        </w:rPr>
        <w:t>he EU regime create</w:t>
      </w:r>
      <w:r w:rsidRPr="00505C99">
        <w:rPr>
          <w:sz w:val="24"/>
          <w:szCs w:val="24"/>
        </w:rPr>
        <w:t>s</w:t>
      </w:r>
      <w:r w:rsidR="001C6780" w:rsidRPr="00505C99">
        <w:rPr>
          <w:sz w:val="24"/>
          <w:szCs w:val="24"/>
        </w:rPr>
        <w:t xml:space="preserve"> greater legal certainty in UK/EU maintenance cases through </w:t>
      </w:r>
      <w:proofErr w:type="spellStart"/>
      <w:r w:rsidR="001C6780" w:rsidRPr="00505C99">
        <w:rPr>
          <w:i/>
          <w:sz w:val="24"/>
          <w:szCs w:val="24"/>
        </w:rPr>
        <w:t>lis</w:t>
      </w:r>
      <w:proofErr w:type="spellEnd"/>
      <w:r w:rsidR="001C6780" w:rsidRPr="00505C99">
        <w:rPr>
          <w:i/>
          <w:sz w:val="24"/>
          <w:szCs w:val="24"/>
        </w:rPr>
        <w:t xml:space="preserve"> </w:t>
      </w:r>
      <w:proofErr w:type="spellStart"/>
      <w:r w:rsidR="001C6780" w:rsidRPr="00505C99">
        <w:rPr>
          <w:i/>
          <w:sz w:val="24"/>
          <w:szCs w:val="24"/>
        </w:rPr>
        <w:t>pendens</w:t>
      </w:r>
      <w:proofErr w:type="spellEnd"/>
      <w:r w:rsidR="001C6780" w:rsidRPr="00505C99">
        <w:rPr>
          <w:sz w:val="24"/>
          <w:szCs w:val="24"/>
        </w:rPr>
        <w:t xml:space="preserve"> and broader party autonomy in parental responsibility and access cases.</w:t>
      </w:r>
    </w:p>
    <w:p w14:paraId="0C0DAC8A" w14:textId="77777777" w:rsidR="00D837BE" w:rsidRPr="00505C99" w:rsidRDefault="00D837BE" w:rsidP="00505C99">
      <w:pPr>
        <w:spacing w:line="360" w:lineRule="auto"/>
        <w:rPr>
          <w:sz w:val="24"/>
          <w:szCs w:val="24"/>
        </w:rPr>
      </w:pPr>
    </w:p>
    <w:p w14:paraId="03A0EDF2" w14:textId="77777777" w:rsidR="00D837BE" w:rsidRPr="00505C99" w:rsidRDefault="00D837BE" w:rsidP="00505C99">
      <w:pPr>
        <w:spacing w:line="360" w:lineRule="auto"/>
        <w:rPr>
          <w:sz w:val="24"/>
          <w:szCs w:val="24"/>
        </w:rPr>
      </w:pPr>
      <w:r w:rsidRPr="00505C99">
        <w:rPr>
          <w:b/>
          <w:sz w:val="24"/>
          <w:szCs w:val="24"/>
        </w:rPr>
        <w:t xml:space="preserve">Keywords: </w:t>
      </w:r>
      <w:r w:rsidRPr="00505C99">
        <w:rPr>
          <w:sz w:val="24"/>
          <w:szCs w:val="24"/>
        </w:rPr>
        <w:t xml:space="preserve">jurisdiction, recognition and enforcement of judgments, parental responsibility, </w:t>
      </w:r>
      <w:proofErr w:type="gramStart"/>
      <w:r w:rsidRPr="00505C99">
        <w:rPr>
          <w:sz w:val="24"/>
          <w:szCs w:val="24"/>
        </w:rPr>
        <w:t>access</w:t>
      </w:r>
      <w:proofErr w:type="gramEnd"/>
      <w:r w:rsidRPr="00505C99">
        <w:rPr>
          <w:sz w:val="24"/>
          <w:szCs w:val="24"/>
        </w:rPr>
        <w:t>, child abduction, and maintenance.</w:t>
      </w:r>
    </w:p>
    <w:p w14:paraId="4FD51F26" w14:textId="77777777" w:rsidR="0030729C" w:rsidRPr="00505C99" w:rsidRDefault="0030729C" w:rsidP="00505C99">
      <w:pPr>
        <w:spacing w:line="360" w:lineRule="auto"/>
        <w:jc w:val="center"/>
        <w:rPr>
          <w:b/>
          <w:sz w:val="24"/>
          <w:szCs w:val="24"/>
        </w:rPr>
      </w:pPr>
    </w:p>
    <w:p w14:paraId="3E18E486" w14:textId="77777777" w:rsidR="005B3822" w:rsidRPr="00505C99" w:rsidRDefault="005B3822" w:rsidP="00505C99">
      <w:pPr>
        <w:spacing w:line="360" w:lineRule="auto"/>
        <w:jc w:val="center"/>
        <w:rPr>
          <w:b/>
          <w:sz w:val="24"/>
          <w:szCs w:val="24"/>
        </w:rPr>
      </w:pPr>
    </w:p>
    <w:p w14:paraId="5C03BBD9" w14:textId="77777777" w:rsidR="005B3822" w:rsidRPr="00505C99" w:rsidRDefault="005B3822" w:rsidP="00505C99">
      <w:pPr>
        <w:spacing w:line="360" w:lineRule="auto"/>
        <w:rPr>
          <w:b/>
          <w:i/>
          <w:sz w:val="24"/>
          <w:szCs w:val="24"/>
        </w:rPr>
      </w:pPr>
      <w:proofErr w:type="gramStart"/>
      <w:r w:rsidRPr="00505C99">
        <w:rPr>
          <w:b/>
          <w:sz w:val="24"/>
          <w:szCs w:val="24"/>
        </w:rPr>
        <w:t>A</w:t>
      </w:r>
      <w:proofErr w:type="gramEnd"/>
      <w:r w:rsidRPr="00505C99">
        <w:rPr>
          <w:b/>
          <w:sz w:val="24"/>
          <w:szCs w:val="24"/>
        </w:rPr>
        <w:t xml:space="preserve"> Introduction</w:t>
      </w:r>
    </w:p>
    <w:p w14:paraId="3F24A808" w14:textId="71599EB6" w:rsidR="00514B14" w:rsidRPr="00505C99" w:rsidRDefault="0030729C" w:rsidP="00505C99">
      <w:pPr>
        <w:spacing w:line="360" w:lineRule="auto"/>
        <w:jc w:val="both"/>
        <w:rPr>
          <w:sz w:val="24"/>
          <w:szCs w:val="24"/>
        </w:rPr>
      </w:pPr>
      <w:r w:rsidRPr="00505C99">
        <w:rPr>
          <w:sz w:val="24"/>
          <w:szCs w:val="24"/>
        </w:rPr>
        <w:lastRenderedPageBreak/>
        <w:t xml:space="preserve">The UK as a Member State of the EU is bound by two EU Regulations on private international law </w:t>
      </w:r>
      <w:r w:rsidR="002659BC" w:rsidRPr="00505C99">
        <w:rPr>
          <w:sz w:val="24"/>
          <w:szCs w:val="24"/>
        </w:rPr>
        <w:t xml:space="preserve">(PIL) </w:t>
      </w:r>
      <w:r w:rsidRPr="00505C99">
        <w:rPr>
          <w:sz w:val="24"/>
          <w:szCs w:val="24"/>
        </w:rPr>
        <w:t xml:space="preserve">- Brussels </w:t>
      </w:r>
      <w:proofErr w:type="spellStart"/>
      <w:r w:rsidRPr="00505C99">
        <w:rPr>
          <w:sz w:val="24"/>
          <w:szCs w:val="24"/>
        </w:rPr>
        <w:t>IIa</w:t>
      </w:r>
      <w:proofErr w:type="spellEnd"/>
      <w:r w:rsidR="00946719" w:rsidRPr="00505C99">
        <w:rPr>
          <w:rStyle w:val="FootnoteReference"/>
          <w:sz w:val="24"/>
          <w:szCs w:val="24"/>
        </w:rPr>
        <w:footnoteReference w:id="1"/>
      </w:r>
      <w:r w:rsidRPr="00505C99">
        <w:rPr>
          <w:sz w:val="24"/>
          <w:szCs w:val="24"/>
        </w:rPr>
        <w:t xml:space="preserve"> and Maintenance</w:t>
      </w:r>
      <w:r w:rsidR="00946719" w:rsidRPr="00505C99">
        <w:rPr>
          <w:rStyle w:val="FootnoteReference"/>
          <w:sz w:val="24"/>
          <w:szCs w:val="24"/>
        </w:rPr>
        <w:footnoteReference w:id="2"/>
      </w:r>
      <w:r w:rsidRPr="00505C99">
        <w:rPr>
          <w:sz w:val="24"/>
          <w:szCs w:val="24"/>
        </w:rPr>
        <w:t xml:space="preserve"> – and by one international treaty – the Hague Maintenance Convention 2007</w:t>
      </w:r>
      <w:r w:rsidR="00B21315" w:rsidRPr="00505C99">
        <w:rPr>
          <w:rStyle w:val="FootnoteReference"/>
          <w:sz w:val="24"/>
          <w:szCs w:val="24"/>
        </w:rPr>
        <w:footnoteReference w:id="3"/>
      </w:r>
      <w:r w:rsidRPr="00505C99">
        <w:rPr>
          <w:sz w:val="24"/>
          <w:szCs w:val="24"/>
        </w:rPr>
        <w:t xml:space="preserve"> -  which are important for children.  </w:t>
      </w:r>
      <w:r w:rsidR="00F14B11" w:rsidRPr="00505C99">
        <w:rPr>
          <w:sz w:val="24"/>
          <w:szCs w:val="24"/>
        </w:rPr>
        <w:t>A</w:t>
      </w:r>
      <w:r w:rsidRPr="00505C99">
        <w:rPr>
          <w:sz w:val="24"/>
          <w:szCs w:val="24"/>
        </w:rPr>
        <w:t xml:space="preserve">fter Brexit the UK will do what is necessary under public international law to remain a party to the Hague Maintenance Convention 2007 </w:t>
      </w:r>
      <w:r w:rsidR="005352C3" w:rsidRPr="00505C99">
        <w:rPr>
          <w:sz w:val="24"/>
          <w:szCs w:val="24"/>
        </w:rPr>
        <w:t>(Hague 2007)</w:t>
      </w:r>
      <w:r w:rsidR="005B7A4C" w:rsidRPr="00505C99">
        <w:rPr>
          <w:sz w:val="24"/>
          <w:szCs w:val="24"/>
        </w:rPr>
        <w:t>,</w:t>
      </w:r>
      <w:r w:rsidR="00F14B11" w:rsidRPr="00505C99">
        <w:rPr>
          <w:sz w:val="24"/>
          <w:szCs w:val="24"/>
        </w:rPr>
        <w:t xml:space="preserve"> hopefully</w:t>
      </w:r>
      <w:r w:rsidR="005352C3" w:rsidRPr="00505C99">
        <w:rPr>
          <w:sz w:val="24"/>
          <w:szCs w:val="24"/>
        </w:rPr>
        <w:t xml:space="preserve"> </w:t>
      </w:r>
      <w:r w:rsidRPr="00505C99">
        <w:rPr>
          <w:sz w:val="24"/>
          <w:szCs w:val="24"/>
        </w:rPr>
        <w:t>without any break in its operation.</w:t>
      </w:r>
      <w:r w:rsidR="00634EA1" w:rsidRPr="00505C99">
        <w:rPr>
          <w:sz w:val="24"/>
          <w:szCs w:val="24"/>
        </w:rPr>
        <w:t xml:space="preserve">  As the UK was one of the Members of the Hague Conference on Private International Law at the time of its Twenty-First Session (November 2007) it has the right to sign and ratify the Convention with no possibility of any other State objecting, see Art 58(1) and (2) of </w:t>
      </w:r>
      <w:r w:rsidR="00766D2C" w:rsidRPr="00505C99">
        <w:rPr>
          <w:sz w:val="24"/>
          <w:szCs w:val="24"/>
        </w:rPr>
        <w:t>Hague 2007</w:t>
      </w:r>
      <w:r w:rsidR="00634EA1" w:rsidRPr="00505C99">
        <w:rPr>
          <w:sz w:val="24"/>
          <w:szCs w:val="24"/>
        </w:rPr>
        <w:t xml:space="preserve">.  </w:t>
      </w:r>
      <w:r w:rsidR="006F5C24" w:rsidRPr="00505C99">
        <w:rPr>
          <w:sz w:val="24"/>
          <w:szCs w:val="24"/>
        </w:rPr>
        <w:t>The UK</w:t>
      </w:r>
      <w:r w:rsidR="00634EA1" w:rsidRPr="00505C99">
        <w:rPr>
          <w:sz w:val="24"/>
          <w:szCs w:val="24"/>
        </w:rPr>
        <w:t xml:space="preserve"> could sign and ratify the Convention on the same day and it would then enter into force for the UK as a Contracting State, rather than the UK as a participating Member State of a </w:t>
      </w:r>
      <w:r w:rsidR="002659BC" w:rsidRPr="00505C99">
        <w:rPr>
          <w:sz w:val="24"/>
          <w:szCs w:val="24"/>
        </w:rPr>
        <w:t>Regional Economic Integration Organisation (</w:t>
      </w:r>
      <w:r w:rsidR="00634EA1" w:rsidRPr="00505C99">
        <w:rPr>
          <w:sz w:val="24"/>
          <w:szCs w:val="24"/>
        </w:rPr>
        <w:t>REIO</w:t>
      </w:r>
      <w:r w:rsidR="002659BC" w:rsidRPr="00505C99">
        <w:rPr>
          <w:sz w:val="24"/>
          <w:szCs w:val="24"/>
        </w:rPr>
        <w:t>)</w:t>
      </w:r>
      <w:r w:rsidR="00634EA1" w:rsidRPr="00505C99">
        <w:rPr>
          <w:sz w:val="24"/>
          <w:szCs w:val="24"/>
        </w:rPr>
        <w:t xml:space="preserve"> that has approved the Convention (see Art 59(3)), on the first day of the month following the expiration of three months after the deposit of its instrument of ratification (see Art 60(2</w:t>
      </w:r>
      <w:proofErr w:type="gramStart"/>
      <w:r w:rsidR="00634EA1" w:rsidRPr="00505C99">
        <w:rPr>
          <w:sz w:val="24"/>
          <w:szCs w:val="24"/>
        </w:rPr>
        <w:t>)(</w:t>
      </w:r>
      <w:proofErr w:type="gramEnd"/>
      <w:r w:rsidR="00634EA1" w:rsidRPr="00505C99">
        <w:rPr>
          <w:sz w:val="24"/>
          <w:szCs w:val="24"/>
        </w:rPr>
        <w:t>a)). In order for this to be done so that the Maintenance Convention remains in force for the UK without any break between it being in force as a member of an REIO and it being in force as a Contracting State</w:t>
      </w:r>
      <w:r w:rsidR="002659BC" w:rsidRPr="00505C99">
        <w:rPr>
          <w:sz w:val="24"/>
          <w:szCs w:val="24"/>
        </w:rPr>
        <w:t>,</w:t>
      </w:r>
      <w:r w:rsidR="00634EA1" w:rsidRPr="00505C99">
        <w:rPr>
          <w:sz w:val="24"/>
          <w:szCs w:val="24"/>
        </w:rPr>
        <w:t xml:space="preserve"> the UK will have to exercise its external competence while still bound by the Convention as a Member State of the EU when under EU law the EU still has exclusive external competence.</w:t>
      </w:r>
      <w:r w:rsidR="00162410" w:rsidRPr="00505C99">
        <w:rPr>
          <w:rStyle w:val="FootnoteReference"/>
          <w:sz w:val="24"/>
          <w:szCs w:val="24"/>
        </w:rPr>
        <w:footnoteReference w:id="4"/>
      </w:r>
    </w:p>
    <w:p w14:paraId="7C4F0E26" w14:textId="77777777" w:rsidR="0030729C" w:rsidRPr="00505C99" w:rsidRDefault="0030729C" w:rsidP="00505C99">
      <w:pPr>
        <w:spacing w:line="360" w:lineRule="auto"/>
        <w:rPr>
          <w:sz w:val="24"/>
          <w:szCs w:val="24"/>
        </w:rPr>
      </w:pPr>
    </w:p>
    <w:p w14:paraId="7FDEC070" w14:textId="41256313" w:rsidR="0030729C" w:rsidRPr="00505C99" w:rsidRDefault="0030729C" w:rsidP="00505C99">
      <w:pPr>
        <w:spacing w:line="360" w:lineRule="auto"/>
        <w:jc w:val="both"/>
        <w:rPr>
          <w:sz w:val="24"/>
          <w:szCs w:val="24"/>
        </w:rPr>
      </w:pPr>
      <w:r w:rsidRPr="00505C99">
        <w:rPr>
          <w:sz w:val="24"/>
          <w:szCs w:val="24"/>
        </w:rPr>
        <w:lastRenderedPageBreak/>
        <w:t xml:space="preserve">The UK is bound in public international law by two Hague Conventions which are important for children </w:t>
      </w:r>
      <w:r w:rsidR="005B7A4C" w:rsidRPr="00505C99">
        <w:rPr>
          <w:sz w:val="24"/>
          <w:szCs w:val="24"/>
        </w:rPr>
        <w:t xml:space="preserve">and are part of the EU </w:t>
      </w:r>
      <w:r w:rsidR="005B7A4C" w:rsidRPr="00505C99">
        <w:rPr>
          <w:i/>
          <w:sz w:val="24"/>
          <w:szCs w:val="24"/>
        </w:rPr>
        <w:t>acquis</w:t>
      </w:r>
      <w:r w:rsidR="005B7A4C" w:rsidRPr="00505C99">
        <w:rPr>
          <w:sz w:val="24"/>
          <w:szCs w:val="24"/>
        </w:rPr>
        <w:t xml:space="preserve"> </w:t>
      </w:r>
      <w:r w:rsidR="00C62AB0" w:rsidRPr="00505C99">
        <w:rPr>
          <w:sz w:val="24"/>
          <w:szCs w:val="24"/>
        </w:rPr>
        <w:t>-</w:t>
      </w:r>
      <w:r w:rsidRPr="00505C99">
        <w:rPr>
          <w:sz w:val="24"/>
          <w:szCs w:val="24"/>
        </w:rPr>
        <w:t xml:space="preserve"> the Child Abduction Convention 1980</w:t>
      </w:r>
      <w:r w:rsidR="007239A5" w:rsidRPr="00505C99">
        <w:rPr>
          <w:rStyle w:val="FootnoteReference"/>
          <w:sz w:val="24"/>
          <w:szCs w:val="24"/>
        </w:rPr>
        <w:footnoteReference w:id="5"/>
      </w:r>
      <w:r w:rsidRPr="00505C99">
        <w:rPr>
          <w:sz w:val="24"/>
          <w:szCs w:val="24"/>
        </w:rPr>
        <w:t xml:space="preserve"> </w:t>
      </w:r>
      <w:r w:rsidR="005352C3" w:rsidRPr="00505C99">
        <w:rPr>
          <w:sz w:val="24"/>
          <w:szCs w:val="24"/>
        </w:rPr>
        <w:t xml:space="preserve">(Hague 1980) </w:t>
      </w:r>
      <w:r w:rsidRPr="00505C99">
        <w:rPr>
          <w:sz w:val="24"/>
          <w:szCs w:val="24"/>
        </w:rPr>
        <w:t>and the Child Protection Convention 1996</w:t>
      </w:r>
      <w:r w:rsidR="005352C3" w:rsidRPr="00505C99">
        <w:rPr>
          <w:sz w:val="24"/>
          <w:szCs w:val="24"/>
        </w:rPr>
        <w:t xml:space="preserve"> (Hague 1996)</w:t>
      </w:r>
      <w:r w:rsidR="005B7A4C" w:rsidRPr="00505C99">
        <w:rPr>
          <w:sz w:val="24"/>
          <w:szCs w:val="24"/>
        </w:rPr>
        <w:t>.</w:t>
      </w:r>
      <w:r w:rsidR="00C62AB0" w:rsidRPr="00505C99">
        <w:rPr>
          <w:sz w:val="24"/>
          <w:szCs w:val="24"/>
          <w:vertAlign w:val="superscript"/>
        </w:rPr>
        <w:footnoteReference w:id="6"/>
      </w:r>
      <w:r w:rsidRPr="00505C99">
        <w:rPr>
          <w:sz w:val="24"/>
          <w:szCs w:val="24"/>
        </w:rPr>
        <w:t xml:space="preserve"> </w:t>
      </w:r>
      <w:r w:rsidR="00D60E7A" w:rsidRPr="00505C99">
        <w:rPr>
          <w:sz w:val="24"/>
          <w:szCs w:val="24"/>
        </w:rPr>
        <w:t>A</w:t>
      </w:r>
      <w:r w:rsidRPr="00505C99">
        <w:rPr>
          <w:sz w:val="24"/>
          <w:szCs w:val="24"/>
        </w:rPr>
        <w:t xml:space="preserve">fter Brexit the UK will remain a party to both of these Conventions as </w:t>
      </w:r>
      <w:r w:rsidR="00EF05F0" w:rsidRPr="00505C99">
        <w:rPr>
          <w:sz w:val="24"/>
          <w:szCs w:val="24"/>
        </w:rPr>
        <w:t xml:space="preserve">the UK ratified both of them as a Member of the Hague Conference.  They were not approved by the EU as an REIO and therefore </w:t>
      </w:r>
      <w:r w:rsidRPr="00505C99">
        <w:rPr>
          <w:sz w:val="24"/>
          <w:szCs w:val="24"/>
        </w:rPr>
        <w:t xml:space="preserve">Brexit has no direct bearing on </w:t>
      </w:r>
      <w:r w:rsidR="00EF05F0" w:rsidRPr="00505C99">
        <w:rPr>
          <w:sz w:val="24"/>
          <w:szCs w:val="24"/>
        </w:rPr>
        <w:t>th</w:t>
      </w:r>
      <w:r w:rsidR="005352C3" w:rsidRPr="00505C99">
        <w:rPr>
          <w:sz w:val="24"/>
          <w:szCs w:val="24"/>
        </w:rPr>
        <w:t>eir continued binding force in international law for the UK</w:t>
      </w:r>
      <w:r w:rsidRPr="00505C99">
        <w:rPr>
          <w:sz w:val="24"/>
          <w:szCs w:val="24"/>
        </w:rPr>
        <w:t>.</w:t>
      </w:r>
      <w:r w:rsidR="00EF05F0" w:rsidRPr="00505C99">
        <w:rPr>
          <w:rStyle w:val="FootnoteReference"/>
          <w:sz w:val="24"/>
          <w:szCs w:val="24"/>
        </w:rPr>
        <w:footnoteReference w:id="7"/>
      </w:r>
      <w:r w:rsidR="005352C3" w:rsidRPr="00505C99">
        <w:rPr>
          <w:sz w:val="24"/>
          <w:szCs w:val="24"/>
        </w:rPr>
        <w:t xml:space="preserve">  </w:t>
      </w:r>
      <w:r w:rsidR="00087831" w:rsidRPr="00505C99">
        <w:rPr>
          <w:sz w:val="24"/>
          <w:szCs w:val="24"/>
        </w:rPr>
        <w:t xml:space="preserve">This </w:t>
      </w:r>
      <w:r w:rsidR="00892931" w:rsidRPr="00505C99">
        <w:rPr>
          <w:sz w:val="24"/>
          <w:szCs w:val="24"/>
        </w:rPr>
        <w:t>is true even for</w:t>
      </w:r>
      <w:r w:rsidR="005352C3" w:rsidRPr="00505C99">
        <w:rPr>
          <w:sz w:val="24"/>
          <w:szCs w:val="24"/>
        </w:rPr>
        <w:t xml:space="preserve"> States that have acceded to Hague 1980 where the acceptance of their accession has been </w:t>
      </w:r>
      <w:r w:rsidR="00087831" w:rsidRPr="00505C99">
        <w:rPr>
          <w:sz w:val="24"/>
          <w:szCs w:val="24"/>
        </w:rPr>
        <w:t>authorised</w:t>
      </w:r>
      <w:r w:rsidR="005352C3" w:rsidRPr="00505C99">
        <w:rPr>
          <w:sz w:val="24"/>
          <w:szCs w:val="24"/>
        </w:rPr>
        <w:t xml:space="preserve"> by the EU since the Court of Justice of the European Union</w:t>
      </w:r>
      <w:r w:rsidR="00892931" w:rsidRPr="00505C99">
        <w:rPr>
          <w:sz w:val="24"/>
          <w:szCs w:val="24"/>
        </w:rPr>
        <w:t xml:space="preserve"> (CJEU)</w:t>
      </w:r>
      <w:r w:rsidR="005352C3" w:rsidRPr="00505C99">
        <w:rPr>
          <w:sz w:val="24"/>
          <w:szCs w:val="24"/>
        </w:rPr>
        <w:t xml:space="preserve"> gave </w:t>
      </w:r>
      <w:r w:rsidR="00087831" w:rsidRPr="00505C99">
        <w:rPr>
          <w:sz w:val="24"/>
          <w:szCs w:val="24"/>
        </w:rPr>
        <w:t xml:space="preserve">the highly controversial </w:t>
      </w:r>
      <w:r w:rsidR="005352C3" w:rsidRPr="00505C99">
        <w:rPr>
          <w:sz w:val="24"/>
          <w:szCs w:val="24"/>
        </w:rPr>
        <w:t>Opinion 1/13 saying that the acceptance of the accession of non-EU States to Hague 1980 falls within the exclusive external competence of the EU</w:t>
      </w:r>
      <w:r w:rsidR="004D1FF4" w:rsidRPr="00505C99">
        <w:rPr>
          <w:sz w:val="24"/>
          <w:szCs w:val="24"/>
        </w:rPr>
        <w:t>.</w:t>
      </w:r>
      <w:r w:rsidR="004D1FF4" w:rsidRPr="00505C99">
        <w:rPr>
          <w:rStyle w:val="FootnoteReference"/>
          <w:sz w:val="24"/>
          <w:szCs w:val="24"/>
        </w:rPr>
        <w:footnoteReference w:id="8"/>
      </w:r>
      <w:r w:rsidR="00087831" w:rsidRPr="00505C99">
        <w:rPr>
          <w:sz w:val="24"/>
          <w:szCs w:val="24"/>
        </w:rPr>
        <w:t xml:space="preserve"> </w:t>
      </w:r>
      <w:r w:rsidR="00325B32" w:rsidRPr="00505C99">
        <w:rPr>
          <w:sz w:val="24"/>
          <w:szCs w:val="24"/>
        </w:rPr>
        <w:t xml:space="preserve">Since </w:t>
      </w:r>
      <w:r w:rsidR="00087831" w:rsidRPr="00505C99">
        <w:rPr>
          <w:sz w:val="24"/>
          <w:szCs w:val="24"/>
        </w:rPr>
        <w:t>Hague 1980 does not recognise the possibility of an REIO making declarations under the Convention on the acceptance of the accession of States to that Convention</w:t>
      </w:r>
      <w:r w:rsidR="002659BC" w:rsidRPr="00505C99">
        <w:rPr>
          <w:sz w:val="24"/>
          <w:szCs w:val="24"/>
        </w:rPr>
        <w:t>,</w:t>
      </w:r>
      <w:r w:rsidR="00087831" w:rsidRPr="00505C99">
        <w:rPr>
          <w:sz w:val="24"/>
          <w:szCs w:val="24"/>
        </w:rPr>
        <w:t xml:space="preserve"> such declarations must be made by Contracting States to the Convention.</w:t>
      </w:r>
      <w:r w:rsidR="00087831" w:rsidRPr="00505C99">
        <w:rPr>
          <w:rStyle w:val="FootnoteReference"/>
          <w:sz w:val="24"/>
          <w:szCs w:val="24"/>
        </w:rPr>
        <w:footnoteReference w:id="9"/>
      </w:r>
      <w:r w:rsidR="00087831" w:rsidRPr="00505C99">
        <w:rPr>
          <w:sz w:val="24"/>
          <w:szCs w:val="24"/>
        </w:rPr>
        <w:t xml:space="preserve"> Therefore</w:t>
      </w:r>
      <w:r w:rsidR="002659BC" w:rsidRPr="00505C99">
        <w:rPr>
          <w:sz w:val="24"/>
          <w:szCs w:val="24"/>
        </w:rPr>
        <w:t>,</w:t>
      </w:r>
      <w:r w:rsidR="00087831" w:rsidRPr="00505C99">
        <w:rPr>
          <w:sz w:val="24"/>
          <w:szCs w:val="24"/>
        </w:rPr>
        <w:t xml:space="preserve"> the Council </w:t>
      </w:r>
      <w:r w:rsidR="002F38DC" w:rsidRPr="00505C99">
        <w:rPr>
          <w:sz w:val="24"/>
          <w:szCs w:val="24"/>
        </w:rPr>
        <w:t xml:space="preserve">unanimously </w:t>
      </w:r>
      <w:r w:rsidR="00087831" w:rsidRPr="00505C99">
        <w:rPr>
          <w:sz w:val="24"/>
          <w:szCs w:val="24"/>
        </w:rPr>
        <w:t xml:space="preserve">makes Decisions authorising the Member States of the EU (apart from Denmark) to </w:t>
      </w:r>
      <w:r w:rsidR="005A3A6F" w:rsidRPr="00505C99">
        <w:rPr>
          <w:sz w:val="24"/>
          <w:szCs w:val="24"/>
        </w:rPr>
        <w:t>declare the acceptance of non-EU States.</w:t>
      </w:r>
      <w:r w:rsidR="005A3A6F" w:rsidRPr="00505C99">
        <w:rPr>
          <w:rStyle w:val="FootnoteReference"/>
          <w:sz w:val="24"/>
          <w:szCs w:val="24"/>
        </w:rPr>
        <w:footnoteReference w:id="10"/>
      </w:r>
      <w:r w:rsidR="005A3A6F" w:rsidRPr="00505C99">
        <w:rPr>
          <w:sz w:val="24"/>
          <w:szCs w:val="24"/>
        </w:rPr>
        <w:t xml:space="preserve"> When an EU Member State makes such a declaration it follows the standard formula agreed by the Council:</w:t>
      </w:r>
    </w:p>
    <w:p w14:paraId="1F89739D" w14:textId="77777777" w:rsidR="005A3A6F" w:rsidRPr="00505C99" w:rsidRDefault="005A3A6F" w:rsidP="00505C99">
      <w:pPr>
        <w:spacing w:line="360" w:lineRule="auto"/>
        <w:rPr>
          <w:sz w:val="24"/>
          <w:szCs w:val="24"/>
        </w:rPr>
      </w:pPr>
    </w:p>
    <w:p w14:paraId="7725094D" w14:textId="77777777" w:rsidR="005A3A6F" w:rsidRPr="00505C99" w:rsidRDefault="005A3A6F" w:rsidP="00505C99">
      <w:pPr>
        <w:spacing w:line="360" w:lineRule="auto"/>
        <w:ind w:left="720"/>
        <w:rPr>
          <w:sz w:val="24"/>
          <w:szCs w:val="24"/>
        </w:rPr>
      </w:pPr>
      <w:r w:rsidRPr="00505C99">
        <w:rPr>
          <w:i/>
          <w:iCs/>
          <w:sz w:val="24"/>
          <w:szCs w:val="24"/>
        </w:rPr>
        <w:t xml:space="preserve">[Full name of EU MEMBER STATE] declares that it accepts the accession of … to the Hague </w:t>
      </w:r>
      <w:r w:rsidR="00E0349B" w:rsidRPr="00505C99">
        <w:rPr>
          <w:i/>
          <w:iCs/>
          <w:sz w:val="24"/>
          <w:szCs w:val="24"/>
        </w:rPr>
        <w:t>C</w:t>
      </w:r>
      <w:r w:rsidRPr="00505C99">
        <w:rPr>
          <w:i/>
          <w:iCs/>
          <w:sz w:val="24"/>
          <w:szCs w:val="24"/>
        </w:rPr>
        <w:t>onvention of 25 October 1980 on the Civil Aspects of International Child Abduction, in accordance with Council Decision (EU) …</w:t>
      </w:r>
      <w:r w:rsidRPr="00505C99">
        <w:rPr>
          <w:rStyle w:val="FootnoteReference"/>
          <w:sz w:val="24"/>
          <w:szCs w:val="24"/>
        </w:rPr>
        <w:footnoteReference w:id="11"/>
      </w:r>
    </w:p>
    <w:p w14:paraId="62E2C2CF" w14:textId="77777777" w:rsidR="00CA25AF" w:rsidRPr="00505C99" w:rsidRDefault="00CA25AF" w:rsidP="00505C99">
      <w:pPr>
        <w:spacing w:line="360" w:lineRule="auto"/>
        <w:ind w:left="720"/>
        <w:rPr>
          <w:sz w:val="24"/>
          <w:szCs w:val="24"/>
        </w:rPr>
      </w:pPr>
    </w:p>
    <w:p w14:paraId="30587882" w14:textId="77777777" w:rsidR="00CA25AF" w:rsidRPr="00505C99" w:rsidRDefault="00CA25AF" w:rsidP="00505C99">
      <w:pPr>
        <w:spacing w:line="360" w:lineRule="auto"/>
        <w:jc w:val="both"/>
        <w:rPr>
          <w:sz w:val="24"/>
          <w:szCs w:val="24"/>
        </w:rPr>
      </w:pPr>
      <w:r w:rsidRPr="00505C99">
        <w:rPr>
          <w:sz w:val="24"/>
          <w:szCs w:val="24"/>
        </w:rPr>
        <w:t>When the UK makes such a declaration and deposit</w:t>
      </w:r>
      <w:r w:rsidR="002C364B" w:rsidRPr="00505C99">
        <w:rPr>
          <w:sz w:val="24"/>
          <w:szCs w:val="24"/>
        </w:rPr>
        <w:t>s</w:t>
      </w:r>
      <w:r w:rsidRPr="00505C99">
        <w:rPr>
          <w:sz w:val="24"/>
          <w:szCs w:val="24"/>
        </w:rPr>
        <w:t xml:space="preserve"> it at the Ministry of Foreign Affairs of the Netherlands,</w:t>
      </w:r>
      <w:r w:rsidRPr="00505C99">
        <w:rPr>
          <w:rStyle w:val="FootnoteReference"/>
          <w:sz w:val="24"/>
          <w:szCs w:val="24"/>
        </w:rPr>
        <w:footnoteReference w:id="12"/>
      </w:r>
      <w:r w:rsidRPr="00505C99">
        <w:rPr>
          <w:sz w:val="24"/>
          <w:szCs w:val="24"/>
        </w:rPr>
        <w:t xml:space="preserve"> Hague 1980 takes effect between the UK and the acceding State concerned on the first day of the third calendar month after the deposit of the declaration of acceptance and Brexit will not affect the continued operation of such treaty relations</w:t>
      </w:r>
      <w:r w:rsidR="002C364B" w:rsidRPr="00505C99">
        <w:rPr>
          <w:sz w:val="24"/>
          <w:szCs w:val="24"/>
        </w:rPr>
        <w:t xml:space="preserve"> because the UK makes such a declaration as a Contracting State to Hague 1980</w:t>
      </w:r>
      <w:r w:rsidRPr="00505C99">
        <w:rPr>
          <w:sz w:val="24"/>
          <w:szCs w:val="24"/>
        </w:rPr>
        <w:t>.</w:t>
      </w:r>
      <w:r w:rsidR="002C364B" w:rsidRPr="00505C99">
        <w:rPr>
          <w:rStyle w:val="FootnoteReference"/>
          <w:sz w:val="24"/>
          <w:szCs w:val="24"/>
        </w:rPr>
        <w:footnoteReference w:id="13"/>
      </w:r>
      <w:r w:rsidR="002C364B" w:rsidRPr="00505C99">
        <w:rPr>
          <w:sz w:val="24"/>
          <w:szCs w:val="24"/>
        </w:rPr>
        <w:t xml:space="preserve"> </w:t>
      </w:r>
      <w:r w:rsidR="00EE4E42" w:rsidRPr="00505C99">
        <w:rPr>
          <w:sz w:val="24"/>
          <w:szCs w:val="24"/>
        </w:rPr>
        <w:t xml:space="preserve">Following Brexit, the </w:t>
      </w:r>
      <w:r w:rsidRPr="00505C99">
        <w:rPr>
          <w:sz w:val="24"/>
          <w:szCs w:val="24"/>
        </w:rPr>
        <w:t>UK</w:t>
      </w:r>
      <w:r w:rsidR="00EE4E42" w:rsidRPr="00505C99">
        <w:rPr>
          <w:sz w:val="24"/>
          <w:szCs w:val="24"/>
        </w:rPr>
        <w:t xml:space="preserve"> will be able</w:t>
      </w:r>
      <w:r w:rsidRPr="00505C99">
        <w:rPr>
          <w:sz w:val="24"/>
          <w:szCs w:val="24"/>
        </w:rPr>
        <w:t xml:space="preserve"> to make its own decisions on whether or not to declare its acceptance of States acceding to Hague 1980 and the UK Government should be diligent to do so whenever it is clear that the acceding State has implemented the Convention properly with an appropriately staffed and equipped Central Authority.</w:t>
      </w:r>
      <w:r w:rsidR="00D93897" w:rsidRPr="00505C99">
        <w:rPr>
          <w:rStyle w:val="FootnoteReference"/>
          <w:sz w:val="24"/>
          <w:szCs w:val="24"/>
        </w:rPr>
        <w:footnoteReference w:id="14"/>
      </w:r>
      <w:r w:rsidR="00EE4E42" w:rsidRPr="00505C99">
        <w:rPr>
          <w:sz w:val="24"/>
          <w:szCs w:val="24"/>
        </w:rPr>
        <w:t xml:space="preserve"> </w:t>
      </w:r>
    </w:p>
    <w:p w14:paraId="4D13EFFD" w14:textId="77777777" w:rsidR="0030729C" w:rsidRPr="00505C99" w:rsidRDefault="0030729C" w:rsidP="00505C99">
      <w:pPr>
        <w:spacing w:line="360" w:lineRule="auto"/>
        <w:rPr>
          <w:sz w:val="24"/>
          <w:szCs w:val="24"/>
        </w:rPr>
      </w:pPr>
    </w:p>
    <w:p w14:paraId="10EA91CF" w14:textId="256219EF" w:rsidR="0030729C" w:rsidRPr="00505C99" w:rsidRDefault="009128AC" w:rsidP="00505C99">
      <w:pPr>
        <w:spacing w:line="360" w:lineRule="auto"/>
        <w:jc w:val="both"/>
        <w:rPr>
          <w:sz w:val="24"/>
          <w:szCs w:val="24"/>
        </w:rPr>
      </w:pPr>
      <w:r w:rsidRPr="00505C99">
        <w:rPr>
          <w:sz w:val="24"/>
          <w:szCs w:val="24"/>
        </w:rPr>
        <w:t>The UK Government in its White Paper on Brexit</w:t>
      </w:r>
      <w:r w:rsidR="00004670" w:rsidRPr="00505C99">
        <w:rPr>
          <w:sz w:val="24"/>
          <w:szCs w:val="24"/>
        </w:rPr>
        <w:t xml:space="preserve"> </w:t>
      </w:r>
      <w:r w:rsidRPr="00505C99">
        <w:rPr>
          <w:sz w:val="24"/>
          <w:szCs w:val="24"/>
        </w:rPr>
        <w:t xml:space="preserve">mentions the possibility of a transitional arrangement to avoid a </w:t>
      </w:r>
      <w:r w:rsidR="00B23195" w:rsidRPr="00505C99">
        <w:rPr>
          <w:sz w:val="24"/>
          <w:szCs w:val="24"/>
        </w:rPr>
        <w:t>‘</w:t>
      </w:r>
      <w:r w:rsidRPr="00505C99">
        <w:rPr>
          <w:sz w:val="24"/>
          <w:szCs w:val="24"/>
        </w:rPr>
        <w:t>cliff-edge</w:t>
      </w:r>
      <w:r w:rsidR="00B23195" w:rsidRPr="00505C99">
        <w:rPr>
          <w:sz w:val="24"/>
          <w:szCs w:val="24"/>
        </w:rPr>
        <w:t>’</w:t>
      </w:r>
      <w:r w:rsidRPr="00505C99">
        <w:rPr>
          <w:sz w:val="24"/>
          <w:szCs w:val="24"/>
        </w:rPr>
        <w:t xml:space="preserve"> when the UK leaves the EU and one element in such arrangements might be the way in which the UK and EU </w:t>
      </w:r>
      <w:r w:rsidR="00B23195" w:rsidRPr="00505C99">
        <w:rPr>
          <w:sz w:val="24"/>
          <w:szCs w:val="24"/>
        </w:rPr>
        <w:t>‘</w:t>
      </w:r>
      <w:r w:rsidRPr="00505C99">
        <w:rPr>
          <w:sz w:val="24"/>
          <w:szCs w:val="24"/>
        </w:rPr>
        <w:t>cooperate</w:t>
      </w:r>
      <w:r w:rsidR="00B23195" w:rsidRPr="00505C99">
        <w:rPr>
          <w:sz w:val="24"/>
          <w:szCs w:val="24"/>
        </w:rPr>
        <w:t>’</w:t>
      </w:r>
      <w:r w:rsidRPr="00505C99">
        <w:rPr>
          <w:sz w:val="24"/>
          <w:szCs w:val="24"/>
        </w:rPr>
        <w:t xml:space="preserve"> on </w:t>
      </w:r>
      <w:r w:rsidR="00B23195" w:rsidRPr="00505C99">
        <w:rPr>
          <w:sz w:val="24"/>
          <w:szCs w:val="24"/>
        </w:rPr>
        <w:t>‘</w:t>
      </w:r>
      <w:r w:rsidRPr="00505C99">
        <w:rPr>
          <w:sz w:val="24"/>
          <w:szCs w:val="24"/>
        </w:rPr>
        <w:t>civil justice matters</w:t>
      </w:r>
      <w:r w:rsidR="00B23195" w:rsidRPr="00505C99">
        <w:rPr>
          <w:sz w:val="24"/>
          <w:szCs w:val="24"/>
        </w:rPr>
        <w:t>’</w:t>
      </w:r>
      <w:r w:rsidRPr="00505C99">
        <w:rPr>
          <w:sz w:val="24"/>
          <w:szCs w:val="24"/>
        </w:rPr>
        <w:t>.</w:t>
      </w:r>
      <w:r w:rsidR="00004670" w:rsidRPr="00505C99">
        <w:rPr>
          <w:sz w:val="24"/>
          <w:szCs w:val="24"/>
          <w:vertAlign w:val="superscript"/>
        </w:rPr>
        <w:footnoteReference w:id="15"/>
      </w:r>
      <w:r w:rsidR="00004670" w:rsidRPr="00505C99">
        <w:rPr>
          <w:sz w:val="24"/>
          <w:szCs w:val="24"/>
        </w:rPr>
        <w:t xml:space="preserve"> </w:t>
      </w:r>
      <w:r w:rsidR="005B3822" w:rsidRPr="00505C99">
        <w:rPr>
          <w:sz w:val="24"/>
          <w:szCs w:val="24"/>
        </w:rPr>
        <w:t xml:space="preserve"> </w:t>
      </w:r>
      <w:r w:rsidR="00004670" w:rsidRPr="00505C99">
        <w:rPr>
          <w:sz w:val="24"/>
          <w:szCs w:val="24"/>
        </w:rPr>
        <w:t>Is such a bilateral agreement needed on child law or is</w:t>
      </w:r>
      <w:r w:rsidR="005B3822" w:rsidRPr="00505C99">
        <w:rPr>
          <w:sz w:val="24"/>
          <w:szCs w:val="24"/>
        </w:rPr>
        <w:t xml:space="preserve"> the multilateral regime that both the UK and EU are bound by appropriate</w:t>
      </w:r>
      <w:r w:rsidR="00D93897" w:rsidRPr="00505C99">
        <w:rPr>
          <w:sz w:val="24"/>
          <w:szCs w:val="24"/>
        </w:rPr>
        <w:t>?</w:t>
      </w:r>
      <w:r w:rsidR="005B3822" w:rsidRPr="00505C99">
        <w:rPr>
          <w:sz w:val="24"/>
          <w:szCs w:val="24"/>
        </w:rPr>
        <w:t xml:space="preserve"> </w:t>
      </w:r>
      <w:r w:rsidR="006F5C24" w:rsidRPr="00505C99">
        <w:rPr>
          <w:sz w:val="24"/>
          <w:szCs w:val="24"/>
        </w:rPr>
        <w:t>In matters concerning children t</w:t>
      </w:r>
      <w:r w:rsidR="005B3822" w:rsidRPr="00505C99">
        <w:rPr>
          <w:sz w:val="24"/>
          <w:szCs w:val="24"/>
        </w:rPr>
        <w:t xml:space="preserve">here </w:t>
      </w:r>
      <w:r w:rsidR="006F5C24" w:rsidRPr="00505C99">
        <w:rPr>
          <w:sz w:val="24"/>
          <w:szCs w:val="24"/>
        </w:rPr>
        <w:t>should be</w:t>
      </w:r>
      <w:r w:rsidR="005B3822" w:rsidRPr="00505C99">
        <w:rPr>
          <w:sz w:val="24"/>
          <w:szCs w:val="24"/>
        </w:rPr>
        <w:t xml:space="preserve"> no </w:t>
      </w:r>
      <w:r w:rsidR="00C73B21" w:rsidRPr="00505C99">
        <w:rPr>
          <w:sz w:val="24"/>
          <w:szCs w:val="24"/>
        </w:rPr>
        <w:t>‘</w:t>
      </w:r>
      <w:r w:rsidR="005B3822" w:rsidRPr="00505C99">
        <w:rPr>
          <w:sz w:val="24"/>
          <w:szCs w:val="24"/>
        </w:rPr>
        <w:t>cliff-edge</w:t>
      </w:r>
      <w:r w:rsidR="00C73B21" w:rsidRPr="00505C99">
        <w:rPr>
          <w:sz w:val="24"/>
          <w:szCs w:val="24"/>
        </w:rPr>
        <w:t>’</w:t>
      </w:r>
      <w:r w:rsidR="005B3822" w:rsidRPr="00505C99">
        <w:rPr>
          <w:sz w:val="24"/>
          <w:szCs w:val="24"/>
        </w:rPr>
        <w:t xml:space="preserve"> because the legal regime provided by the three Hague Conventions </w:t>
      </w:r>
      <w:r w:rsidR="006F5C24" w:rsidRPr="00505C99">
        <w:rPr>
          <w:sz w:val="24"/>
          <w:szCs w:val="24"/>
        </w:rPr>
        <w:t>should</w:t>
      </w:r>
      <w:r w:rsidR="005B3822" w:rsidRPr="00505C99">
        <w:rPr>
          <w:sz w:val="24"/>
          <w:szCs w:val="24"/>
        </w:rPr>
        <w:t xml:space="preserve"> apply to </w:t>
      </w:r>
      <w:r w:rsidR="006F5C24" w:rsidRPr="00505C99">
        <w:rPr>
          <w:sz w:val="24"/>
          <w:szCs w:val="24"/>
        </w:rPr>
        <w:t>EU</w:t>
      </w:r>
      <w:r w:rsidR="005B3822" w:rsidRPr="00505C99">
        <w:rPr>
          <w:sz w:val="24"/>
          <w:szCs w:val="24"/>
        </w:rPr>
        <w:t xml:space="preserve"> relations with the </w:t>
      </w:r>
      <w:r w:rsidR="006F5C24" w:rsidRPr="00505C99">
        <w:rPr>
          <w:sz w:val="24"/>
          <w:szCs w:val="24"/>
        </w:rPr>
        <w:t>UK</w:t>
      </w:r>
      <w:r w:rsidR="005B3822" w:rsidRPr="00505C99">
        <w:rPr>
          <w:sz w:val="24"/>
          <w:szCs w:val="24"/>
        </w:rPr>
        <w:t xml:space="preserve"> immediately </w:t>
      </w:r>
      <w:r w:rsidR="00C62AB0" w:rsidRPr="00505C99">
        <w:rPr>
          <w:sz w:val="24"/>
          <w:szCs w:val="24"/>
        </w:rPr>
        <w:t xml:space="preserve">after Brexit </w:t>
      </w:r>
      <w:r w:rsidR="00C73B21" w:rsidRPr="00505C99">
        <w:rPr>
          <w:sz w:val="24"/>
          <w:szCs w:val="24"/>
        </w:rPr>
        <w:t>as</w:t>
      </w:r>
      <w:r w:rsidR="00C62AB0" w:rsidRPr="00505C99">
        <w:rPr>
          <w:sz w:val="24"/>
          <w:szCs w:val="24"/>
        </w:rPr>
        <w:t xml:space="preserve"> all three Conventions are part of the EU </w:t>
      </w:r>
      <w:r w:rsidR="00C62AB0" w:rsidRPr="00505C99">
        <w:rPr>
          <w:i/>
          <w:sz w:val="24"/>
          <w:szCs w:val="24"/>
        </w:rPr>
        <w:t>acquis</w:t>
      </w:r>
      <w:r w:rsidR="00C62AB0" w:rsidRPr="00505C99">
        <w:rPr>
          <w:sz w:val="24"/>
          <w:szCs w:val="24"/>
        </w:rPr>
        <w:t xml:space="preserve"> for its relations with other Hague Contracting States</w:t>
      </w:r>
      <w:r w:rsidR="005B3822" w:rsidRPr="00505C99">
        <w:rPr>
          <w:sz w:val="24"/>
          <w:szCs w:val="24"/>
        </w:rPr>
        <w:t>.</w:t>
      </w:r>
      <w:r w:rsidR="006F5C24" w:rsidRPr="00505C99">
        <w:rPr>
          <w:sz w:val="24"/>
          <w:szCs w:val="24"/>
        </w:rPr>
        <w:t xml:space="preserve">  The only doubt surrounds the application of Hague 2007 to these relations for 3 months from the moment Brexit takes place unless the UK and EU reach an agreement to allow the UK to ratify it 3 months before the date when the UK leaves the EU</w:t>
      </w:r>
      <w:r w:rsidR="00AC309B" w:rsidRPr="00505C99">
        <w:rPr>
          <w:sz w:val="24"/>
          <w:szCs w:val="24"/>
        </w:rPr>
        <w:t xml:space="preserve"> or the UK does </w:t>
      </w:r>
      <w:r w:rsidR="00C73B21" w:rsidRPr="00505C99">
        <w:rPr>
          <w:sz w:val="24"/>
          <w:szCs w:val="24"/>
        </w:rPr>
        <w:t>this</w:t>
      </w:r>
      <w:r w:rsidR="00AC309B" w:rsidRPr="00505C99">
        <w:rPr>
          <w:sz w:val="24"/>
          <w:szCs w:val="24"/>
        </w:rPr>
        <w:t xml:space="preserve"> unilaterally and the courts of the EU Member States respect this in order to protect maintenance creditors</w:t>
      </w:r>
      <w:r w:rsidR="006F5C24" w:rsidRPr="00505C99">
        <w:rPr>
          <w:sz w:val="24"/>
          <w:szCs w:val="24"/>
        </w:rPr>
        <w:t>.</w:t>
      </w:r>
    </w:p>
    <w:p w14:paraId="11E85DF6" w14:textId="77777777" w:rsidR="005B3822" w:rsidRPr="00505C99" w:rsidRDefault="005B3822" w:rsidP="00505C99">
      <w:pPr>
        <w:spacing w:line="360" w:lineRule="auto"/>
        <w:rPr>
          <w:sz w:val="24"/>
          <w:szCs w:val="24"/>
        </w:rPr>
      </w:pPr>
    </w:p>
    <w:p w14:paraId="1A695CD8" w14:textId="77777777" w:rsidR="005B3822" w:rsidRPr="00505C99" w:rsidRDefault="005B3822" w:rsidP="00505C99">
      <w:pPr>
        <w:spacing w:line="360" w:lineRule="auto"/>
        <w:rPr>
          <w:b/>
          <w:sz w:val="24"/>
          <w:szCs w:val="24"/>
        </w:rPr>
      </w:pPr>
      <w:r w:rsidRPr="00505C99">
        <w:rPr>
          <w:b/>
          <w:sz w:val="24"/>
          <w:szCs w:val="24"/>
        </w:rPr>
        <w:t xml:space="preserve">B Brussels </w:t>
      </w:r>
      <w:proofErr w:type="spellStart"/>
      <w:r w:rsidRPr="00505C99">
        <w:rPr>
          <w:b/>
          <w:sz w:val="24"/>
          <w:szCs w:val="24"/>
        </w:rPr>
        <w:t>IIa</w:t>
      </w:r>
      <w:proofErr w:type="spellEnd"/>
      <w:r w:rsidRPr="00505C99">
        <w:rPr>
          <w:b/>
          <w:sz w:val="24"/>
          <w:szCs w:val="24"/>
        </w:rPr>
        <w:t xml:space="preserve"> Regulation compared to </w:t>
      </w:r>
      <w:r w:rsidR="00946719" w:rsidRPr="00505C99">
        <w:rPr>
          <w:b/>
          <w:sz w:val="24"/>
          <w:szCs w:val="24"/>
        </w:rPr>
        <w:t xml:space="preserve">the </w:t>
      </w:r>
      <w:r w:rsidRPr="00505C99">
        <w:rPr>
          <w:b/>
          <w:sz w:val="24"/>
          <w:szCs w:val="24"/>
        </w:rPr>
        <w:t>Hague 1980 and 1996 Conventions</w:t>
      </w:r>
    </w:p>
    <w:p w14:paraId="571B7FF7" w14:textId="77777777" w:rsidR="005B3822" w:rsidRPr="00505C99" w:rsidRDefault="005B3822" w:rsidP="00505C99">
      <w:pPr>
        <w:spacing w:line="360" w:lineRule="auto"/>
        <w:rPr>
          <w:sz w:val="24"/>
          <w:szCs w:val="24"/>
        </w:rPr>
      </w:pPr>
    </w:p>
    <w:p w14:paraId="55091B18" w14:textId="670791E2" w:rsidR="005B3822" w:rsidRPr="00505C99" w:rsidRDefault="005615EA" w:rsidP="00505C99">
      <w:pPr>
        <w:spacing w:line="360" w:lineRule="auto"/>
        <w:jc w:val="both"/>
        <w:rPr>
          <w:sz w:val="24"/>
          <w:szCs w:val="24"/>
        </w:rPr>
      </w:pPr>
      <w:r w:rsidRPr="00505C99">
        <w:rPr>
          <w:sz w:val="24"/>
          <w:szCs w:val="24"/>
        </w:rPr>
        <w:t>How does</w:t>
      </w:r>
      <w:r w:rsidR="005B3822" w:rsidRPr="00505C99">
        <w:rPr>
          <w:sz w:val="24"/>
          <w:szCs w:val="24"/>
        </w:rPr>
        <w:t xml:space="preserve"> the Brussels </w:t>
      </w:r>
      <w:proofErr w:type="spellStart"/>
      <w:r w:rsidR="005B3822" w:rsidRPr="00505C99">
        <w:rPr>
          <w:sz w:val="24"/>
          <w:szCs w:val="24"/>
        </w:rPr>
        <w:t>IIa</w:t>
      </w:r>
      <w:proofErr w:type="spellEnd"/>
      <w:r w:rsidR="005B3822" w:rsidRPr="00505C99">
        <w:rPr>
          <w:sz w:val="24"/>
          <w:szCs w:val="24"/>
        </w:rPr>
        <w:t xml:space="preserve"> Regulation work for children </w:t>
      </w:r>
      <w:r w:rsidRPr="00505C99">
        <w:rPr>
          <w:sz w:val="24"/>
          <w:szCs w:val="24"/>
        </w:rPr>
        <w:t>compared to Hague</w:t>
      </w:r>
      <w:r w:rsidR="005B3822" w:rsidRPr="00505C99">
        <w:rPr>
          <w:sz w:val="24"/>
          <w:szCs w:val="24"/>
        </w:rPr>
        <w:t xml:space="preserve"> 1980 and 1996</w:t>
      </w:r>
      <w:r w:rsidRPr="00505C99">
        <w:rPr>
          <w:sz w:val="24"/>
          <w:szCs w:val="24"/>
        </w:rPr>
        <w:t>?</w:t>
      </w:r>
      <w:r w:rsidR="005B3822" w:rsidRPr="00505C99">
        <w:rPr>
          <w:sz w:val="24"/>
          <w:szCs w:val="24"/>
        </w:rPr>
        <w:t xml:space="preserve"> This comparison is divided into three areas of law: child abduction, parental responsibility and access.</w:t>
      </w:r>
    </w:p>
    <w:p w14:paraId="596144EE" w14:textId="77777777" w:rsidR="005B3822" w:rsidRPr="00505C99" w:rsidRDefault="005B3822" w:rsidP="00505C99">
      <w:pPr>
        <w:spacing w:line="360" w:lineRule="auto"/>
        <w:jc w:val="both"/>
        <w:rPr>
          <w:sz w:val="24"/>
          <w:szCs w:val="24"/>
        </w:rPr>
      </w:pPr>
    </w:p>
    <w:p w14:paraId="039E36CE" w14:textId="77777777" w:rsidR="005B3822" w:rsidRPr="00505C99" w:rsidRDefault="002031A4" w:rsidP="00505C99">
      <w:pPr>
        <w:spacing w:line="360" w:lineRule="auto"/>
        <w:jc w:val="both"/>
        <w:rPr>
          <w:sz w:val="24"/>
          <w:szCs w:val="24"/>
        </w:rPr>
      </w:pPr>
      <w:proofErr w:type="spellStart"/>
      <w:r w:rsidRPr="00505C99">
        <w:rPr>
          <w:sz w:val="24"/>
          <w:szCs w:val="24"/>
        </w:rPr>
        <w:t>i</w:t>
      </w:r>
      <w:proofErr w:type="spellEnd"/>
      <w:r w:rsidRPr="00505C99">
        <w:rPr>
          <w:sz w:val="24"/>
          <w:szCs w:val="24"/>
        </w:rPr>
        <w:t>. Child Abduction</w:t>
      </w:r>
    </w:p>
    <w:p w14:paraId="67A9363B" w14:textId="77777777" w:rsidR="002031A4" w:rsidRPr="00505C99" w:rsidRDefault="002031A4" w:rsidP="00505C99">
      <w:pPr>
        <w:spacing w:line="360" w:lineRule="auto"/>
        <w:jc w:val="both"/>
        <w:rPr>
          <w:sz w:val="24"/>
          <w:szCs w:val="24"/>
        </w:rPr>
      </w:pPr>
    </w:p>
    <w:p w14:paraId="61925484" w14:textId="0DB73587" w:rsidR="002031A4" w:rsidRPr="00505C99" w:rsidRDefault="002031A4" w:rsidP="00505C99">
      <w:pPr>
        <w:spacing w:line="360" w:lineRule="auto"/>
        <w:jc w:val="both"/>
        <w:rPr>
          <w:sz w:val="24"/>
          <w:szCs w:val="24"/>
        </w:rPr>
      </w:pPr>
      <w:r w:rsidRPr="00505C99">
        <w:rPr>
          <w:sz w:val="24"/>
          <w:szCs w:val="24"/>
        </w:rPr>
        <w:t xml:space="preserve">The only significant difference between the regime for international child abduction applicable at present to intra-EU cases as a result of Brussels </w:t>
      </w:r>
      <w:proofErr w:type="spellStart"/>
      <w:r w:rsidRPr="00505C99">
        <w:rPr>
          <w:sz w:val="24"/>
          <w:szCs w:val="24"/>
        </w:rPr>
        <w:t>IIa</w:t>
      </w:r>
      <w:proofErr w:type="spellEnd"/>
      <w:r w:rsidRPr="00505C99">
        <w:rPr>
          <w:sz w:val="24"/>
          <w:szCs w:val="24"/>
        </w:rPr>
        <w:t xml:space="preserve"> and </w:t>
      </w:r>
      <w:proofErr w:type="gramStart"/>
      <w:r w:rsidRPr="00505C99">
        <w:rPr>
          <w:sz w:val="24"/>
          <w:szCs w:val="24"/>
        </w:rPr>
        <w:t>the</w:t>
      </w:r>
      <w:proofErr w:type="gramEnd"/>
      <w:r w:rsidRPr="00505C99">
        <w:rPr>
          <w:sz w:val="24"/>
          <w:szCs w:val="24"/>
        </w:rPr>
        <w:t xml:space="preserve"> Hague 1980 system</w:t>
      </w:r>
      <w:r w:rsidR="006F087A" w:rsidRPr="00505C99">
        <w:rPr>
          <w:sz w:val="24"/>
          <w:szCs w:val="24"/>
        </w:rPr>
        <w:t xml:space="preserve"> </w:t>
      </w:r>
      <w:r w:rsidRPr="00505C99">
        <w:rPr>
          <w:sz w:val="24"/>
          <w:szCs w:val="24"/>
        </w:rPr>
        <w:t>is the override mechanism</w:t>
      </w:r>
      <w:r w:rsidR="00854A9E" w:rsidRPr="00505C99">
        <w:rPr>
          <w:sz w:val="24"/>
          <w:szCs w:val="24"/>
        </w:rPr>
        <w:t xml:space="preserve"> in Article 11(6)-(8)</w:t>
      </w:r>
      <w:r w:rsidR="006F087A" w:rsidRPr="00505C99">
        <w:rPr>
          <w:sz w:val="24"/>
          <w:szCs w:val="24"/>
        </w:rPr>
        <w:t xml:space="preserve"> of Brussels Ia</w:t>
      </w:r>
      <w:r w:rsidRPr="00505C99">
        <w:rPr>
          <w:sz w:val="24"/>
          <w:szCs w:val="24"/>
        </w:rPr>
        <w:t xml:space="preserve">. </w:t>
      </w:r>
      <w:r w:rsidR="006F087A" w:rsidRPr="00505C99">
        <w:rPr>
          <w:sz w:val="24"/>
          <w:szCs w:val="24"/>
        </w:rPr>
        <w:t xml:space="preserve">The Hague 1980 system already applies to cases between the UK and non-EU Contracting States to the Convention and will apply after Brexit – in the absence of any special deal – to cases between the UK and EU Member States,  </w:t>
      </w:r>
      <w:r w:rsidRPr="00505C99">
        <w:rPr>
          <w:sz w:val="24"/>
          <w:szCs w:val="24"/>
        </w:rPr>
        <w:t>Th</w:t>
      </w:r>
      <w:r w:rsidR="006F087A" w:rsidRPr="00505C99">
        <w:rPr>
          <w:sz w:val="24"/>
          <w:szCs w:val="24"/>
        </w:rPr>
        <w:t xml:space="preserve">e Brussels </w:t>
      </w:r>
      <w:proofErr w:type="spellStart"/>
      <w:r w:rsidR="006F087A" w:rsidRPr="00505C99">
        <w:rPr>
          <w:sz w:val="24"/>
          <w:szCs w:val="24"/>
        </w:rPr>
        <w:t>IIa</w:t>
      </w:r>
      <w:proofErr w:type="spellEnd"/>
      <w:r w:rsidR="006F087A" w:rsidRPr="00505C99">
        <w:rPr>
          <w:sz w:val="24"/>
          <w:szCs w:val="24"/>
        </w:rPr>
        <w:t xml:space="preserve"> override</w:t>
      </w:r>
      <w:r w:rsidRPr="00505C99">
        <w:rPr>
          <w:sz w:val="24"/>
          <w:szCs w:val="24"/>
        </w:rPr>
        <w:t xml:space="preserve"> mechanism enables a court in an EU Member State</w:t>
      </w:r>
      <w:r w:rsidR="00870640" w:rsidRPr="00505C99">
        <w:rPr>
          <w:sz w:val="24"/>
          <w:szCs w:val="24"/>
        </w:rPr>
        <w:t>,</w:t>
      </w:r>
      <w:r w:rsidRPr="00505C99">
        <w:rPr>
          <w:sz w:val="24"/>
          <w:szCs w:val="24"/>
        </w:rPr>
        <w:t xml:space="preserve"> where a child was habitually resident before the child’s abduction to another EU Member State</w:t>
      </w:r>
      <w:r w:rsidR="00870640" w:rsidRPr="00505C99">
        <w:rPr>
          <w:sz w:val="24"/>
          <w:szCs w:val="24"/>
        </w:rPr>
        <w:t>,</w:t>
      </w:r>
      <w:r w:rsidRPr="00505C99">
        <w:rPr>
          <w:sz w:val="24"/>
          <w:szCs w:val="24"/>
        </w:rPr>
        <w:t xml:space="preserve"> to override the non-return order by that other State if it was based on Article 13 of Hague 1980</w:t>
      </w:r>
      <w:r w:rsidR="0004507D" w:rsidRPr="00505C99">
        <w:rPr>
          <w:sz w:val="24"/>
          <w:szCs w:val="24"/>
        </w:rPr>
        <w:t xml:space="preserve"> and for the override return order to be automatically enforceable with no grounds for refusal in all EU Member States</w:t>
      </w:r>
      <w:r w:rsidRPr="00505C99">
        <w:rPr>
          <w:sz w:val="24"/>
          <w:szCs w:val="24"/>
        </w:rPr>
        <w:t>.</w:t>
      </w:r>
      <w:r w:rsidR="00FA03C1" w:rsidRPr="00505C99">
        <w:rPr>
          <w:sz w:val="24"/>
          <w:szCs w:val="24"/>
        </w:rPr>
        <w:t xml:space="preserve"> The author of this paper </w:t>
      </w:r>
      <w:r w:rsidRPr="00505C99">
        <w:rPr>
          <w:sz w:val="24"/>
          <w:szCs w:val="24"/>
        </w:rPr>
        <w:t>led a Nuffield Foundation</w:t>
      </w:r>
      <w:r w:rsidR="00FA03C1" w:rsidRPr="00505C99">
        <w:rPr>
          <w:sz w:val="24"/>
          <w:szCs w:val="24"/>
        </w:rPr>
        <w:t>-</w:t>
      </w:r>
      <w:r w:rsidRPr="00505C99">
        <w:rPr>
          <w:sz w:val="24"/>
          <w:szCs w:val="24"/>
        </w:rPr>
        <w:t xml:space="preserve">funded study into how the override </w:t>
      </w:r>
      <w:r w:rsidR="00870640" w:rsidRPr="00505C99">
        <w:rPr>
          <w:sz w:val="24"/>
          <w:szCs w:val="24"/>
        </w:rPr>
        <w:t>mechanism</w:t>
      </w:r>
      <w:r w:rsidRPr="00505C99">
        <w:rPr>
          <w:sz w:val="24"/>
          <w:szCs w:val="24"/>
        </w:rPr>
        <w:t xml:space="preserve"> is operating in the EU.</w:t>
      </w:r>
      <w:r w:rsidRPr="00505C99">
        <w:rPr>
          <w:rStyle w:val="FootnoteReference"/>
          <w:sz w:val="24"/>
          <w:szCs w:val="24"/>
        </w:rPr>
        <w:footnoteReference w:id="16"/>
      </w:r>
      <w:r w:rsidRPr="00505C99">
        <w:rPr>
          <w:sz w:val="24"/>
          <w:szCs w:val="24"/>
        </w:rPr>
        <w:t xml:space="preserve"> </w:t>
      </w:r>
      <w:r w:rsidR="001A16C4" w:rsidRPr="00505C99">
        <w:rPr>
          <w:sz w:val="24"/>
          <w:szCs w:val="24"/>
        </w:rPr>
        <w:t>The r</w:t>
      </w:r>
      <w:r w:rsidRPr="00505C99">
        <w:rPr>
          <w:sz w:val="24"/>
          <w:szCs w:val="24"/>
        </w:rPr>
        <w:t>eport in 2016</w:t>
      </w:r>
      <w:r w:rsidR="00870640" w:rsidRPr="00505C99">
        <w:rPr>
          <w:sz w:val="24"/>
          <w:szCs w:val="24"/>
        </w:rPr>
        <w:t xml:space="preserve"> show</w:t>
      </w:r>
      <w:r w:rsidR="001A16C4" w:rsidRPr="00505C99">
        <w:rPr>
          <w:sz w:val="24"/>
          <w:szCs w:val="24"/>
        </w:rPr>
        <w:t>s</w:t>
      </w:r>
      <w:r w:rsidRPr="00505C99">
        <w:rPr>
          <w:sz w:val="24"/>
          <w:szCs w:val="24"/>
        </w:rPr>
        <w:t xml:space="preserve"> how ineffective the </w:t>
      </w:r>
      <w:r w:rsidR="00870640" w:rsidRPr="00505C99">
        <w:rPr>
          <w:sz w:val="24"/>
          <w:szCs w:val="24"/>
        </w:rPr>
        <w:t>mechanism</w:t>
      </w:r>
      <w:r w:rsidRPr="00505C99">
        <w:rPr>
          <w:sz w:val="24"/>
          <w:szCs w:val="24"/>
        </w:rPr>
        <w:t xml:space="preserve"> is</w:t>
      </w:r>
      <w:r w:rsidR="001A16C4" w:rsidRPr="00505C99">
        <w:rPr>
          <w:sz w:val="24"/>
          <w:szCs w:val="24"/>
        </w:rPr>
        <w:t xml:space="preserve"> and t</w:t>
      </w:r>
      <w:r w:rsidRPr="00505C99">
        <w:rPr>
          <w:sz w:val="24"/>
          <w:szCs w:val="24"/>
        </w:rPr>
        <w:t>he authors recommended scrapping it.</w:t>
      </w:r>
      <w:r w:rsidR="0072111E" w:rsidRPr="00505C99">
        <w:rPr>
          <w:sz w:val="24"/>
          <w:szCs w:val="24"/>
        </w:rPr>
        <w:t xml:space="preserve"> These were the reasons given in the conclusion:</w:t>
      </w:r>
    </w:p>
    <w:p w14:paraId="45C1390C" w14:textId="77777777" w:rsidR="0072111E" w:rsidRPr="00505C99" w:rsidRDefault="0072111E" w:rsidP="00505C99">
      <w:pPr>
        <w:spacing w:line="360" w:lineRule="auto"/>
        <w:jc w:val="both"/>
        <w:rPr>
          <w:sz w:val="24"/>
          <w:szCs w:val="24"/>
        </w:rPr>
      </w:pPr>
    </w:p>
    <w:p w14:paraId="20B66D2F" w14:textId="77777777" w:rsidR="0072111E" w:rsidRPr="00505C99" w:rsidRDefault="0072111E" w:rsidP="00505C99">
      <w:pPr>
        <w:spacing w:line="360" w:lineRule="auto"/>
        <w:ind w:left="720"/>
        <w:jc w:val="both"/>
        <w:rPr>
          <w:sz w:val="24"/>
          <w:szCs w:val="24"/>
        </w:rPr>
      </w:pPr>
      <w:r w:rsidRPr="00505C99">
        <w:rPr>
          <w:sz w:val="24"/>
          <w:szCs w:val="24"/>
        </w:rPr>
        <w:t xml:space="preserve">The research project has indicated that there are problems with the Article 11(6)-(8) Brussels </w:t>
      </w:r>
      <w:proofErr w:type="spellStart"/>
      <w:r w:rsidRPr="00505C99">
        <w:rPr>
          <w:sz w:val="24"/>
          <w:szCs w:val="24"/>
        </w:rPr>
        <w:t>IIa</w:t>
      </w:r>
      <w:proofErr w:type="spellEnd"/>
      <w:r w:rsidRPr="00505C99">
        <w:rPr>
          <w:sz w:val="24"/>
          <w:szCs w:val="24"/>
        </w:rPr>
        <w:t xml:space="preserve"> procedure and that return orders given under Article 11(8) are</w:t>
      </w:r>
      <w:r w:rsidR="00854A9E" w:rsidRPr="00505C99">
        <w:rPr>
          <w:sz w:val="24"/>
          <w:szCs w:val="24"/>
        </w:rPr>
        <w:t xml:space="preserve"> </w:t>
      </w:r>
      <w:r w:rsidRPr="00505C99">
        <w:rPr>
          <w:sz w:val="24"/>
          <w:szCs w:val="24"/>
        </w:rPr>
        <w:t>rarely ever implemented, either through legal enforcement or otherwise. The procedure</w:t>
      </w:r>
      <w:r w:rsidR="00854A9E" w:rsidRPr="00505C99">
        <w:rPr>
          <w:sz w:val="24"/>
          <w:szCs w:val="24"/>
        </w:rPr>
        <w:t xml:space="preserve"> </w:t>
      </w:r>
      <w:r w:rsidRPr="00505C99">
        <w:rPr>
          <w:sz w:val="24"/>
          <w:szCs w:val="24"/>
        </w:rPr>
        <w:t>often gives false hope to left-behind parents, is only accessible to those who</w:t>
      </w:r>
      <w:r w:rsidR="00854A9E" w:rsidRPr="00505C99">
        <w:rPr>
          <w:sz w:val="24"/>
          <w:szCs w:val="24"/>
        </w:rPr>
        <w:t xml:space="preserve"> </w:t>
      </w:r>
      <w:r w:rsidRPr="00505C99">
        <w:rPr>
          <w:sz w:val="24"/>
          <w:szCs w:val="24"/>
        </w:rPr>
        <w:t>are made aware of the procedure by solicitors or other organizations, and in some</w:t>
      </w:r>
      <w:r w:rsidR="00854A9E" w:rsidRPr="00505C99">
        <w:rPr>
          <w:sz w:val="24"/>
          <w:szCs w:val="24"/>
        </w:rPr>
        <w:t xml:space="preserve"> </w:t>
      </w:r>
      <w:r w:rsidRPr="00505C99">
        <w:rPr>
          <w:sz w:val="24"/>
          <w:szCs w:val="24"/>
        </w:rPr>
        <w:t>countries legal aid is limited so even those aware of the procedure might not be</w:t>
      </w:r>
      <w:r w:rsidR="00854A9E" w:rsidRPr="00505C99">
        <w:rPr>
          <w:sz w:val="24"/>
          <w:szCs w:val="24"/>
        </w:rPr>
        <w:t xml:space="preserve"> </w:t>
      </w:r>
      <w:r w:rsidRPr="00505C99">
        <w:rPr>
          <w:sz w:val="24"/>
          <w:szCs w:val="24"/>
        </w:rPr>
        <w:t>able to utilize it. The procedure also increases animosity between the parents, prolongs</w:t>
      </w:r>
      <w:r w:rsidR="00854A9E" w:rsidRPr="00505C99">
        <w:rPr>
          <w:sz w:val="24"/>
          <w:szCs w:val="24"/>
        </w:rPr>
        <w:t xml:space="preserve"> </w:t>
      </w:r>
      <w:r w:rsidRPr="00505C99">
        <w:rPr>
          <w:sz w:val="24"/>
          <w:szCs w:val="24"/>
        </w:rPr>
        <w:t>the period of instability for the child, and can delay contact between the child</w:t>
      </w:r>
      <w:r w:rsidR="00854A9E" w:rsidRPr="00505C99">
        <w:rPr>
          <w:sz w:val="24"/>
          <w:szCs w:val="24"/>
        </w:rPr>
        <w:t xml:space="preserve"> </w:t>
      </w:r>
      <w:r w:rsidRPr="00505C99">
        <w:rPr>
          <w:sz w:val="24"/>
          <w:szCs w:val="24"/>
        </w:rPr>
        <w:t>and the left-behind parent. Consequently the overall conclusion is that the procedure</w:t>
      </w:r>
      <w:r w:rsidR="00854A9E" w:rsidRPr="00505C99">
        <w:rPr>
          <w:sz w:val="24"/>
          <w:szCs w:val="24"/>
        </w:rPr>
        <w:t xml:space="preserve"> </w:t>
      </w:r>
      <w:r w:rsidRPr="00505C99">
        <w:rPr>
          <w:sz w:val="24"/>
          <w:szCs w:val="24"/>
        </w:rPr>
        <w:t xml:space="preserve">should be removed from a revised Brussels </w:t>
      </w:r>
      <w:proofErr w:type="spellStart"/>
      <w:r w:rsidRPr="00505C99">
        <w:rPr>
          <w:sz w:val="24"/>
          <w:szCs w:val="24"/>
        </w:rPr>
        <w:t>IIa</w:t>
      </w:r>
      <w:proofErr w:type="spellEnd"/>
      <w:r w:rsidRPr="00505C99">
        <w:rPr>
          <w:sz w:val="24"/>
          <w:szCs w:val="24"/>
        </w:rPr>
        <w:t>.</w:t>
      </w:r>
      <w:r w:rsidRPr="00505C99">
        <w:rPr>
          <w:sz w:val="24"/>
          <w:szCs w:val="24"/>
          <w:vertAlign w:val="superscript"/>
        </w:rPr>
        <w:footnoteReference w:id="17"/>
      </w:r>
    </w:p>
    <w:p w14:paraId="1187662A" w14:textId="77777777" w:rsidR="0072111E" w:rsidRPr="00505C99" w:rsidRDefault="0072111E" w:rsidP="00505C99">
      <w:pPr>
        <w:spacing w:line="360" w:lineRule="auto"/>
        <w:ind w:firstLine="720"/>
        <w:rPr>
          <w:sz w:val="24"/>
          <w:szCs w:val="24"/>
        </w:rPr>
      </w:pPr>
    </w:p>
    <w:p w14:paraId="126714AE" w14:textId="1431C76A" w:rsidR="0072111E" w:rsidRPr="00505C99" w:rsidRDefault="0072111E" w:rsidP="00505C99">
      <w:pPr>
        <w:spacing w:line="360" w:lineRule="auto"/>
        <w:jc w:val="both"/>
        <w:rPr>
          <w:sz w:val="24"/>
          <w:szCs w:val="24"/>
        </w:rPr>
      </w:pPr>
      <w:r w:rsidRPr="00505C99">
        <w:rPr>
          <w:sz w:val="24"/>
          <w:szCs w:val="24"/>
        </w:rPr>
        <w:t>Some of the statistics on which this conclusion w</w:t>
      </w:r>
      <w:r w:rsidR="00FA03C1" w:rsidRPr="00505C99">
        <w:rPr>
          <w:sz w:val="24"/>
          <w:szCs w:val="24"/>
        </w:rPr>
        <w:t>as</w:t>
      </w:r>
      <w:r w:rsidRPr="00505C99">
        <w:rPr>
          <w:sz w:val="24"/>
          <w:szCs w:val="24"/>
        </w:rPr>
        <w:t xml:space="preserve"> based are repeated here in order to understand </w:t>
      </w:r>
      <w:r w:rsidR="00106A5A" w:rsidRPr="00505C99">
        <w:rPr>
          <w:sz w:val="24"/>
          <w:szCs w:val="24"/>
        </w:rPr>
        <w:t>its</w:t>
      </w:r>
      <w:r w:rsidRPr="00505C99">
        <w:rPr>
          <w:sz w:val="24"/>
          <w:szCs w:val="24"/>
        </w:rPr>
        <w:t xml:space="preserve"> empirical basis.</w:t>
      </w:r>
      <w:r w:rsidR="00C402F2" w:rsidRPr="00505C99">
        <w:rPr>
          <w:sz w:val="24"/>
          <w:szCs w:val="24"/>
        </w:rPr>
        <w:t xml:space="preserve"> The study uncovered only 66 applications concerning 70 children which involved Article 11(6)-(8) of Brussels </w:t>
      </w:r>
      <w:proofErr w:type="spellStart"/>
      <w:r w:rsidR="00C402F2" w:rsidRPr="00505C99">
        <w:rPr>
          <w:sz w:val="24"/>
          <w:szCs w:val="24"/>
        </w:rPr>
        <w:t>IIa</w:t>
      </w:r>
      <w:proofErr w:type="spellEnd"/>
      <w:r w:rsidR="00C402F2" w:rsidRPr="00505C99">
        <w:rPr>
          <w:sz w:val="24"/>
          <w:szCs w:val="24"/>
        </w:rPr>
        <w:t xml:space="preserve"> between its entry into force and June 2015.  This was for the whole of the EU and is therefore a remarkably small number. The only countries where it has been used more than once a year are Italy (17 cases) and the UK (11 cases).</w:t>
      </w:r>
      <w:r w:rsidR="00C402F2" w:rsidRPr="00505C99">
        <w:rPr>
          <w:rStyle w:val="FootnoteReference"/>
          <w:sz w:val="24"/>
          <w:szCs w:val="24"/>
        </w:rPr>
        <w:footnoteReference w:id="18"/>
      </w:r>
      <w:r w:rsidR="00C402F2" w:rsidRPr="00505C99">
        <w:rPr>
          <w:sz w:val="24"/>
          <w:szCs w:val="24"/>
        </w:rPr>
        <w:t xml:space="preserve"> </w:t>
      </w:r>
      <w:r w:rsidR="001564A9" w:rsidRPr="00505C99">
        <w:rPr>
          <w:sz w:val="24"/>
          <w:szCs w:val="24"/>
        </w:rPr>
        <w:t>Out of the 66 cases the reason for the Hague non-return orde</w:t>
      </w:r>
      <w:r w:rsidR="000111E7" w:rsidRPr="00505C99">
        <w:rPr>
          <w:sz w:val="24"/>
          <w:szCs w:val="24"/>
        </w:rPr>
        <w:t xml:space="preserve">r in 41 of them </w:t>
      </w:r>
      <w:r w:rsidR="001564A9" w:rsidRPr="00505C99">
        <w:rPr>
          <w:sz w:val="24"/>
          <w:szCs w:val="24"/>
        </w:rPr>
        <w:t>was at least in part Article 13(1</w:t>
      </w:r>
      <w:proofErr w:type="gramStart"/>
      <w:r w:rsidR="001564A9" w:rsidRPr="00505C99">
        <w:rPr>
          <w:sz w:val="24"/>
          <w:szCs w:val="24"/>
        </w:rPr>
        <w:t>)(</w:t>
      </w:r>
      <w:proofErr w:type="gramEnd"/>
      <w:r w:rsidR="001564A9" w:rsidRPr="00505C99">
        <w:rPr>
          <w:sz w:val="24"/>
          <w:szCs w:val="24"/>
        </w:rPr>
        <w:t>b).</w:t>
      </w:r>
      <w:r w:rsidR="001564A9" w:rsidRPr="00505C99">
        <w:rPr>
          <w:rStyle w:val="FootnoteReference"/>
          <w:sz w:val="24"/>
          <w:szCs w:val="24"/>
        </w:rPr>
        <w:footnoteReference w:id="19"/>
      </w:r>
      <w:r w:rsidR="001564A9" w:rsidRPr="00505C99">
        <w:rPr>
          <w:sz w:val="24"/>
          <w:szCs w:val="24"/>
        </w:rPr>
        <w:t xml:space="preserve">  </w:t>
      </w:r>
      <w:r w:rsidR="00E606EB" w:rsidRPr="00505C99">
        <w:rPr>
          <w:sz w:val="24"/>
          <w:szCs w:val="24"/>
        </w:rPr>
        <w:t xml:space="preserve">Of the 66 cases, 28 resulted in a return order and the issuance of an Article 42 Brussels </w:t>
      </w:r>
      <w:proofErr w:type="spellStart"/>
      <w:r w:rsidR="00E606EB" w:rsidRPr="00505C99">
        <w:rPr>
          <w:sz w:val="24"/>
          <w:szCs w:val="24"/>
        </w:rPr>
        <w:t>IIa</w:t>
      </w:r>
      <w:proofErr w:type="spellEnd"/>
      <w:r w:rsidR="00E606EB" w:rsidRPr="00505C99">
        <w:rPr>
          <w:sz w:val="24"/>
          <w:szCs w:val="24"/>
        </w:rPr>
        <w:t xml:space="preserve"> certificate (which is designed to make the override decision one that is not reviewable in other EU courts), in 28 cases a return order was refused and in 10 cases the outcome </w:t>
      </w:r>
      <w:r w:rsidR="00D24B40" w:rsidRPr="00505C99">
        <w:rPr>
          <w:sz w:val="24"/>
          <w:szCs w:val="24"/>
        </w:rPr>
        <w:t>wa</w:t>
      </w:r>
      <w:r w:rsidR="00E606EB" w:rsidRPr="00505C99">
        <w:rPr>
          <w:sz w:val="24"/>
          <w:szCs w:val="24"/>
        </w:rPr>
        <w:t>s unknown.</w:t>
      </w:r>
      <w:r w:rsidR="00E606EB" w:rsidRPr="00505C99">
        <w:rPr>
          <w:rStyle w:val="FootnoteReference"/>
          <w:sz w:val="24"/>
          <w:szCs w:val="24"/>
        </w:rPr>
        <w:footnoteReference w:id="20"/>
      </w:r>
      <w:r w:rsidR="00CB3251" w:rsidRPr="00505C99">
        <w:rPr>
          <w:sz w:val="24"/>
          <w:szCs w:val="24"/>
        </w:rPr>
        <w:t xml:space="preserve"> Of the 28 return orders a full welfare analysis was definitely carried out in </w:t>
      </w:r>
      <w:r w:rsidR="000111E7" w:rsidRPr="00505C99">
        <w:rPr>
          <w:sz w:val="24"/>
          <w:szCs w:val="24"/>
        </w:rPr>
        <w:t xml:space="preserve">only </w:t>
      </w:r>
      <w:r w:rsidR="00CB3251" w:rsidRPr="00505C99">
        <w:rPr>
          <w:sz w:val="24"/>
          <w:szCs w:val="24"/>
        </w:rPr>
        <w:t>5 cases before the return order was made.</w:t>
      </w:r>
      <w:r w:rsidR="00CB3251" w:rsidRPr="00505C99">
        <w:rPr>
          <w:rStyle w:val="FootnoteReference"/>
          <w:sz w:val="24"/>
          <w:szCs w:val="24"/>
        </w:rPr>
        <w:footnoteReference w:id="21"/>
      </w:r>
      <w:r w:rsidR="00CB3251" w:rsidRPr="00505C99">
        <w:rPr>
          <w:sz w:val="24"/>
          <w:szCs w:val="24"/>
        </w:rPr>
        <w:t xml:space="preserve"> Furthermore, in </w:t>
      </w:r>
      <w:r w:rsidR="000111E7" w:rsidRPr="00505C99">
        <w:rPr>
          <w:sz w:val="24"/>
          <w:szCs w:val="24"/>
        </w:rPr>
        <w:t xml:space="preserve">only </w:t>
      </w:r>
      <w:r w:rsidR="00CB3251" w:rsidRPr="00505C99">
        <w:rPr>
          <w:sz w:val="24"/>
          <w:szCs w:val="24"/>
        </w:rPr>
        <w:t>7 of the 28 cases where a return order was made the child</w:t>
      </w:r>
      <w:r w:rsidR="00D24B40" w:rsidRPr="00505C99">
        <w:rPr>
          <w:sz w:val="24"/>
          <w:szCs w:val="24"/>
        </w:rPr>
        <w:t xml:space="preserve"> was</w:t>
      </w:r>
      <w:r w:rsidR="00CB3251" w:rsidRPr="00505C99">
        <w:rPr>
          <w:sz w:val="24"/>
          <w:szCs w:val="24"/>
        </w:rPr>
        <w:t xml:space="preserve"> definitely returned to that country</w:t>
      </w:r>
      <w:r w:rsidR="00CB3251" w:rsidRPr="00505C99">
        <w:rPr>
          <w:rStyle w:val="FootnoteReference"/>
          <w:sz w:val="24"/>
          <w:szCs w:val="24"/>
        </w:rPr>
        <w:footnoteReference w:id="22"/>
      </w:r>
      <w:r w:rsidR="00CB3251" w:rsidRPr="00505C99">
        <w:rPr>
          <w:sz w:val="24"/>
          <w:szCs w:val="24"/>
        </w:rPr>
        <w:t xml:space="preserve"> and in only 5 of those 7 cases was the return done legally rather than by a re</w:t>
      </w:r>
      <w:r w:rsidR="00486CEA" w:rsidRPr="00505C99">
        <w:rPr>
          <w:sz w:val="24"/>
          <w:szCs w:val="24"/>
        </w:rPr>
        <w:t>-</w:t>
      </w:r>
      <w:r w:rsidR="00CB3251" w:rsidRPr="00505C99">
        <w:rPr>
          <w:sz w:val="24"/>
          <w:szCs w:val="24"/>
        </w:rPr>
        <w:t>abduction.</w:t>
      </w:r>
      <w:r w:rsidR="003B193A" w:rsidRPr="00505C99">
        <w:rPr>
          <w:rStyle w:val="FootnoteReference"/>
          <w:sz w:val="24"/>
          <w:szCs w:val="24"/>
        </w:rPr>
        <w:footnoteReference w:id="23"/>
      </w:r>
      <w:r w:rsidR="007A4F41" w:rsidRPr="00505C99">
        <w:rPr>
          <w:sz w:val="24"/>
          <w:szCs w:val="24"/>
        </w:rPr>
        <w:t xml:space="preserve"> </w:t>
      </w:r>
      <w:r w:rsidR="000111E7" w:rsidRPr="00505C99">
        <w:rPr>
          <w:sz w:val="24"/>
          <w:szCs w:val="24"/>
        </w:rPr>
        <w:t xml:space="preserve">Disappointingly only </w:t>
      </w:r>
      <w:r w:rsidR="007A4F41" w:rsidRPr="00505C99">
        <w:rPr>
          <w:sz w:val="24"/>
          <w:szCs w:val="24"/>
        </w:rPr>
        <w:t xml:space="preserve">14 out of the 70 children were definitely heard in the Article 11(6)-(8) Brussels </w:t>
      </w:r>
      <w:proofErr w:type="spellStart"/>
      <w:r w:rsidR="007A4F41" w:rsidRPr="00505C99">
        <w:rPr>
          <w:sz w:val="24"/>
          <w:szCs w:val="24"/>
        </w:rPr>
        <w:t>IIa</w:t>
      </w:r>
      <w:proofErr w:type="spellEnd"/>
      <w:r w:rsidR="007A4F41" w:rsidRPr="00505C99">
        <w:rPr>
          <w:sz w:val="24"/>
          <w:szCs w:val="24"/>
        </w:rPr>
        <w:t xml:space="preserve"> proceedings and in only one of those cases was a return ordered.</w:t>
      </w:r>
      <w:r w:rsidR="007A4F41" w:rsidRPr="00505C99">
        <w:rPr>
          <w:rStyle w:val="FootnoteReference"/>
          <w:sz w:val="24"/>
          <w:szCs w:val="24"/>
        </w:rPr>
        <w:footnoteReference w:id="24"/>
      </w:r>
      <w:r w:rsidR="007A4F41" w:rsidRPr="00505C99">
        <w:rPr>
          <w:sz w:val="24"/>
          <w:szCs w:val="24"/>
        </w:rPr>
        <w:t xml:space="preserve"> </w:t>
      </w:r>
      <w:r w:rsidR="000111E7" w:rsidRPr="00505C99">
        <w:rPr>
          <w:sz w:val="24"/>
          <w:szCs w:val="24"/>
        </w:rPr>
        <w:t xml:space="preserve">Only </w:t>
      </w:r>
      <w:r w:rsidR="007A4F41" w:rsidRPr="00505C99">
        <w:rPr>
          <w:sz w:val="24"/>
          <w:szCs w:val="24"/>
        </w:rPr>
        <w:t xml:space="preserve">9 out of the 33 children who were </w:t>
      </w:r>
      <w:r w:rsidR="000111E7" w:rsidRPr="00505C99">
        <w:rPr>
          <w:sz w:val="24"/>
          <w:szCs w:val="24"/>
        </w:rPr>
        <w:t>aged six</w:t>
      </w:r>
      <w:r w:rsidR="007A4F41" w:rsidRPr="00505C99">
        <w:rPr>
          <w:sz w:val="24"/>
          <w:szCs w:val="24"/>
        </w:rPr>
        <w:t xml:space="preserve"> and over involved in this type of proceedings were heard directly or indirectly in those proceedings.</w:t>
      </w:r>
      <w:r w:rsidR="00920F57" w:rsidRPr="00505C99">
        <w:rPr>
          <w:rStyle w:val="FootnoteReference"/>
          <w:sz w:val="24"/>
          <w:szCs w:val="24"/>
        </w:rPr>
        <w:footnoteReference w:id="25"/>
      </w:r>
      <w:r w:rsidR="00920F57" w:rsidRPr="00505C99">
        <w:rPr>
          <w:sz w:val="24"/>
          <w:szCs w:val="24"/>
        </w:rPr>
        <w:t xml:space="preserve"> In 28 of the 66 Article 11(6)-(8) Brussels </w:t>
      </w:r>
      <w:proofErr w:type="spellStart"/>
      <w:r w:rsidR="00920F57" w:rsidRPr="00505C99">
        <w:rPr>
          <w:sz w:val="24"/>
          <w:szCs w:val="24"/>
        </w:rPr>
        <w:t>IIa</w:t>
      </w:r>
      <w:proofErr w:type="spellEnd"/>
      <w:r w:rsidR="00920F57" w:rsidRPr="00505C99">
        <w:rPr>
          <w:sz w:val="24"/>
          <w:szCs w:val="24"/>
        </w:rPr>
        <w:t xml:space="preserve"> proceedings </w:t>
      </w:r>
      <w:r w:rsidR="000111E7" w:rsidRPr="00505C99">
        <w:rPr>
          <w:sz w:val="24"/>
          <w:szCs w:val="24"/>
        </w:rPr>
        <w:t xml:space="preserve">even </w:t>
      </w:r>
      <w:r w:rsidR="00920F57" w:rsidRPr="00505C99">
        <w:rPr>
          <w:sz w:val="24"/>
          <w:szCs w:val="24"/>
        </w:rPr>
        <w:t>the abducting parent was not heard.</w:t>
      </w:r>
      <w:r w:rsidR="00920F57" w:rsidRPr="00505C99">
        <w:rPr>
          <w:rStyle w:val="FootnoteReference"/>
          <w:sz w:val="24"/>
          <w:szCs w:val="24"/>
        </w:rPr>
        <w:footnoteReference w:id="26"/>
      </w:r>
    </w:p>
    <w:p w14:paraId="17910C43" w14:textId="77777777" w:rsidR="0072111E" w:rsidRPr="00505C99" w:rsidRDefault="0072111E" w:rsidP="00505C99">
      <w:pPr>
        <w:spacing w:line="360" w:lineRule="auto"/>
        <w:jc w:val="both"/>
        <w:rPr>
          <w:sz w:val="24"/>
          <w:szCs w:val="24"/>
        </w:rPr>
      </w:pPr>
    </w:p>
    <w:p w14:paraId="329030E5" w14:textId="77777777" w:rsidR="0072111E" w:rsidRPr="00505C99" w:rsidRDefault="0072111E" w:rsidP="00505C99">
      <w:pPr>
        <w:spacing w:line="360" w:lineRule="auto"/>
        <w:jc w:val="both"/>
        <w:rPr>
          <w:sz w:val="24"/>
          <w:szCs w:val="24"/>
        </w:rPr>
      </w:pPr>
      <w:r w:rsidRPr="00505C99">
        <w:rPr>
          <w:sz w:val="24"/>
          <w:szCs w:val="24"/>
        </w:rPr>
        <w:t xml:space="preserve">It is also worth noting that the view that the override system in Brussels </w:t>
      </w:r>
      <w:proofErr w:type="spellStart"/>
      <w:r w:rsidRPr="00505C99">
        <w:rPr>
          <w:sz w:val="24"/>
          <w:szCs w:val="24"/>
        </w:rPr>
        <w:t>IIa</w:t>
      </w:r>
      <w:proofErr w:type="spellEnd"/>
      <w:r w:rsidRPr="00505C99">
        <w:rPr>
          <w:sz w:val="24"/>
          <w:szCs w:val="24"/>
        </w:rPr>
        <w:t xml:space="preserve"> </w:t>
      </w:r>
      <w:r w:rsidR="00040F1C" w:rsidRPr="00505C99">
        <w:rPr>
          <w:sz w:val="24"/>
          <w:szCs w:val="24"/>
        </w:rPr>
        <w:t xml:space="preserve">should be scrapped </w:t>
      </w:r>
      <w:r w:rsidRPr="00505C99">
        <w:rPr>
          <w:sz w:val="24"/>
          <w:szCs w:val="24"/>
        </w:rPr>
        <w:t xml:space="preserve">is not unique to </w:t>
      </w:r>
      <w:r w:rsidR="00D800D9" w:rsidRPr="00505C99">
        <w:rPr>
          <w:sz w:val="24"/>
          <w:szCs w:val="24"/>
        </w:rPr>
        <w:t xml:space="preserve">commentators </w:t>
      </w:r>
      <w:r w:rsidRPr="00505C99">
        <w:rPr>
          <w:sz w:val="24"/>
          <w:szCs w:val="24"/>
        </w:rPr>
        <w:t xml:space="preserve">in the UK. </w:t>
      </w:r>
      <w:r w:rsidR="00040F1C" w:rsidRPr="00505C99">
        <w:rPr>
          <w:sz w:val="24"/>
          <w:szCs w:val="24"/>
        </w:rPr>
        <w:t xml:space="preserve">Thalia Kruger and </w:t>
      </w:r>
      <w:proofErr w:type="spellStart"/>
      <w:r w:rsidR="00040F1C" w:rsidRPr="00505C99">
        <w:rPr>
          <w:sz w:val="24"/>
          <w:szCs w:val="24"/>
        </w:rPr>
        <w:t>Liselot</w:t>
      </w:r>
      <w:proofErr w:type="spellEnd"/>
      <w:r w:rsidR="00040F1C" w:rsidRPr="00505C99">
        <w:rPr>
          <w:sz w:val="24"/>
          <w:szCs w:val="24"/>
        </w:rPr>
        <w:t xml:space="preserve"> </w:t>
      </w:r>
      <w:proofErr w:type="spellStart"/>
      <w:r w:rsidR="00040F1C" w:rsidRPr="00505C99">
        <w:rPr>
          <w:sz w:val="24"/>
          <w:szCs w:val="24"/>
        </w:rPr>
        <w:t>Samyn</w:t>
      </w:r>
      <w:proofErr w:type="spellEnd"/>
      <w:r w:rsidR="00040F1C" w:rsidRPr="00505C99">
        <w:rPr>
          <w:sz w:val="24"/>
          <w:szCs w:val="24"/>
        </w:rPr>
        <w:t xml:space="preserve"> reached the same conclusion:</w:t>
      </w:r>
    </w:p>
    <w:p w14:paraId="60B090C3" w14:textId="77777777" w:rsidR="00040F1C" w:rsidRPr="00505C99" w:rsidRDefault="00040F1C" w:rsidP="00505C99">
      <w:pPr>
        <w:spacing w:line="360" w:lineRule="auto"/>
        <w:jc w:val="both"/>
        <w:rPr>
          <w:sz w:val="24"/>
          <w:szCs w:val="24"/>
        </w:rPr>
      </w:pPr>
    </w:p>
    <w:p w14:paraId="70AE854B" w14:textId="38A5918B" w:rsidR="00040F1C" w:rsidRPr="00505C99" w:rsidRDefault="00040F1C" w:rsidP="00505C99">
      <w:pPr>
        <w:spacing w:line="360" w:lineRule="auto"/>
        <w:ind w:left="720"/>
        <w:jc w:val="both"/>
        <w:rPr>
          <w:sz w:val="24"/>
          <w:szCs w:val="24"/>
        </w:rPr>
      </w:pPr>
      <w:r w:rsidRPr="00505C99">
        <w:rPr>
          <w:sz w:val="24"/>
          <w:szCs w:val="24"/>
        </w:rPr>
        <w:t xml:space="preserve">The first problem is that it is not uncommon that a </w:t>
      </w:r>
      <w:r w:rsidR="00C402F2" w:rsidRPr="00505C99">
        <w:rPr>
          <w:sz w:val="24"/>
          <w:szCs w:val="24"/>
        </w:rPr>
        <w:t xml:space="preserve">[Hague </w:t>
      </w:r>
      <w:r w:rsidRPr="00505C99">
        <w:rPr>
          <w:sz w:val="24"/>
          <w:szCs w:val="24"/>
        </w:rPr>
        <w:t>refusal</w:t>
      </w:r>
      <w:r w:rsidR="00C402F2" w:rsidRPr="00505C99">
        <w:rPr>
          <w:sz w:val="24"/>
          <w:szCs w:val="24"/>
        </w:rPr>
        <w:t xml:space="preserve"> to return a child order]</w:t>
      </w:r>
      <w:r w:rsidRPr="00505C99">
        <w:rPr>
          <w:sz w:val="24"/>
          <w:szCs w:val="24"/>
        </w:rPr>
        <w:t xml:space="preserve"> is based on more than one ground. In these circumstances it is unclear whether the second chance procedure is available or not</w:t>
      </w:r>
      <w:r w:rsidR="00C402F2" w:rsidRPr="00505C99">
        <w:rPr>
          <w:sz w:val="24"/>
          <w:szCs w:val="24"/>
        </w:rPr>
        <w:t xml:space="preserve"> [as it expressly applies only where a refusal is based on Article 13 of the Hague Convention]</w:t>
      </w:r>
      <w:r w:rsidRPr="00505C99">
        <w:rPr>
          <w:sz w:val="24"/>
          <w:szCs w:val="24"/>
        </w:rPr>
        <w:t>. The second problem is that the second chance procedure takes up more time. Brussels II </w:t>
      </w:r>
      <w:proofErr w:type="spellStart"/>
      <w:r w:rsidRPr="00505C99">
        <w:rPr>
          <w:i/>
          <w:sz w:val="24"/>
          <w:szCs w:val="24"/>
        </w:rPr>
        <w:t>bis</w:t>
      </w:r>
      <w:proofErr w:type="spellEnd"/>
      <w:r w:rsidRPr="00505C99">
        <w:rPr>
          <w:sz w:val="24"/>
          <w:szCs w:val="24"/>
        </w:rPr>
        <w:t xml:space="preserve"> does not even provide a time limit in which this procedure must be completed. Third, the extra procedure potentially increases the conflict in the family. It increases the stress on the entire family and especially the child. Fourth, if we take children’s rights seriously</w:t>
      </w:r>
      <w:r w:rsidR="000111E7" w:rsidRPr="00505C99">
        <w:rPr>
          <w:sz w:val="24"/>
          <w:szCs w:val="24"/>
        </w:rPr>
        <w:t>…</w:t>
      </w:r>
      <w:r w:rsidRPr="00505C99">
        <w:rPr>
          <w:sz w:val="24"/>
          <w:szCs w:val="24"/>
        </w:rPr>
        <w:t xml:space="preserve"> it is inconceivable to listen to the child only the second time he or she says something. </w:t>
      </w:r>
    </w:p>
    <w:p w14:paraId="723C8322" w14:textId="77777777" w:rsidR="00040F1C" w:rsidRPr="00505C99" w:rsidRDefault="00040F1C" w:rsidP="00505C99">
      <w:pPr>
        <w:spacing w:line="360" w:lineRule="auto"/>
        <w:ind w:left="720"/>
        <w:jc w:val="both"/>
        <w:rPr>
          <w:sz w:val="24"/>
          <w:szCs w:val="24"/>
        </w:rPr>
      </w:pPr>
      <w:r w:rsidRPr="00505C99">
        <w:rPr>
          <w:sz w:val="24"/>
          <w:szCs w:val="24"/>
        </w:rPr>
        <w:t xml:space="preserve">Our proposal is to abolish the second chance procedure and return to the delicate balance struck by </w:t>
      </w:r>
      <w:proofErr w:type="gramStart"/>
      <w:r w:rsidRPr="00505C99">
        <w:rPr>
          <w:sz w:val="24"/>
          <w:szCs w:val="24"/>
        </w:rPr>
        <w:t>the</w:t>
      </w:r>
      <w:proofErr w:type="gramEnd"/>
      <w:r w:rsidRPr="00505C99">
        <w:rPr>
          <w:sz w:val="24"/>
          <w:szCs w:val="24"/>
        </w:rPr>
        <w:t xml:space="preserve"> Hague Child Abduction Convention. This will recover the same treatment of abducted children whether in or outside the EU. It will reiterate the approach of reverse subsidiarity.</w:t>
      </w:r>
      <w:r w:rsidRPr="00505C99">
        <w:rPr>
          <w:rStyle w:val="FootnoteReference"/>
          <w:sz w:val="24"/>
          <w:szCs w:val="24"/>
        </w:rPr>
        <w:footnoteReference w:id="27"/>
      </w:r>
    </w:p>
    <w:p w14:paraId="167F96FB" w14:textId="77777777" w:rsidR="00040F1C" w:rsidRPr="00505C99" w:rsidRDefault="00040F1C" w:rsidP="00505C99">
      <w:pPr>
        <w:spacing w:line="360" w:lineRule="auto"/>
        <w:rPr>
          <w:sz w:val="24"/>
          <w:szCs w:val="24"/>
        </w:rPr>
      </w:pPr>
    </w:p>
    <w:p w14:paraId="37CFD6C1" w14:textId="77777777" w:rsidR="00486CEA" w:rsidRPr="00505C99" w:rsidRDefault="00486CEA" w:rsidP="00505C99">
      <w:pPr>
        <w:spacing w:line="360" w:lineRule="auto"/>
        <w:jc w:val="both"/>
        <w:rPr>
          <w:sz w:val="24"/>
          <w:szCs w:val="24"/>
        </w:rPr>
      </w:pPr>
      <w:r w:rsidRPr="00505C99">
        <w:rPr>
          <w:sz w:val="24"/>
          <w:szCs w:val="24"/>
        </w:rPr>
        <w:t xml:space="preserve">The Commission in its Proposal for a Recast of Brussels </w:t>
      </w:r>
      <w:proofErr w:type="spellStart"/>
      <w:r w:rsidRPr="00505C99">
        <w:rPr>
          <w:sz w:val="24"/>
          <w:szCs w:val="24"/>
        </w:rPr>
        <w:t>IIa</w:t>
      </w:r>
      <w:proofErr w:type="spellEnd"/>
      <w:r w:rsidRPr="00505C99">
        <w:rPr>
          <w:sz w:val="24"/>
          <w:szCs w:val="24"/>
        </w:rPr>
        <w:t xml:space="preserve"> is suggesting some welcome improvements to the override </w:t>
      </w:r>
      <w:r w:rsidR="00D24B40" w:rsidRPr="00505C99">
        <w:rPr>
          <w:sz w:val="24"/>
          <w:szCs w:val="24"/>
        </w:rPr>
        <w:t>mechanis</w:t>
      </w:r>
      <w:r w:rsidRPr="00505C99">
        <w:rPr>
          <w:sz w:val="24"/>
          <w:szCs w:val="24"/>
        </w:rPr>
        <w:t>m</w:t>
      </w:r>
      <w:r w:rsidRPr="00505C99">
        <w:rPr>
          <w:rStyle w:val="FootnoteReference"/>
          <w:sz w:val="24"/>
          <w:szCs w:val="24"/>
        </w:rPr>
        <w:footnoteReference w:id="28"/>
      </w:r>
      <w:r w:rsidRPr="00505C99">
        <w:rPr>
          <w:sz w:val="24"/>
          <w:szCs w:val="24"/>
        </w:rPr>
        <w:t xml:space="preserve"> but keeping this extra layer of complexity in child abduction cases will still be less satisfactory than the Hague 1980 system.</w:t>
      </w:r>
      <w:r w:rsidR="0035234D" w:rsidRPr="00505C99">
        <w:rPr>
          <w:rStyle w:val="FootnoteReference"/>
          <w:sz w:val="24"/>
          <w:szCs w:val="24"/>
        </w:rPr>
        <w:footnoteReference w:id="29"/>
      </w:r>
    </w:p>
    <w:p w14:paraId="3B6E6D1A" w14:textId="77777777" w:rsidR="00486CEA" w:rsidRPr="00505C99" w:rsidRDefault="00486CEA" w:rsidP="00505C99">
      <w:pPr>
        <w:spacing w:line="360" w:lineRule="auto"/>
        <w:jc w:val="both"/>
        <w:rPr>
          <w:sz w:val="24"/>
          <w:szCs w:val="24"/>
        </w:rPr>
      </w:pPr>
    </w:p>
    <w:p w14:paraId="165C40C2" w14:textId="3F89A0F1" w:rsidR="001A2485" w:rsidRPr="00505C99" w:rsidRDefault="001A2485" w:rsidP="00505C99">
      <w:pPr>
        <w:spacing w:line="360" w:lineRule="auto"/>
        <w:jc w:val="both"/>
        <w:rPr>
          <w:sz w:val="24"/>
          <w:szCs w:val="24"/>
        </w:rPr>
      </w:pPr>
      <w:r w:rsidRPr="00505C99">
        <w:rPr>
          <w:sz w:val="24"/>
          <w:szCs w:val="24"/>
        </w:rPr>
        <w:t xml:space="preserve">Currently </w:t>
      </w:r>
      <w:r w:rsidR="00C04A79" w:rsidRPr="00505C99">
        <w:rPr>
          <w:sz w:val="24"/>
          <w:szCs w:val="24"/>
        </w:rPr>
        <w:t>Hague</w:t>
      </w:r>
      <w:r w:rsidRPr="00505C99">
        <w:rPr>
          <w:sz w:val="24"/>
          <w:szCs w:val="24"/>
        </w:rPr>
        <w:t xml:space="preserve"> 1996 has an advantage over Brussels </w:t>
      </w:r>
      <w:proofErr w:type="spellStart"/>
      <w:r w:rsidRPr="00505C99">
        <w:rPr>
          <w:sz w:val="24"/>
          <w:szCs w:val="24"/>
        </w:rPr>
        <w:t>IIa</w:t>
      </w:r>
      <w:proofErr w:type="spellEnd"/>
      <w:r w:rsidRPr="00505C99">
        <w:rPr>
          <w:sz w:val="24"/>
          <w:szCs w:val="24"/>
        </w:rPr>
        <w:t xml:space="preserve"> in relation to provisional measures which can be ordered by the court in order to facilitate the return of the child to the country of his or her habitual residence. Such measures under Article 11 of the 1996 Convention carry automatic recognition effects with them until the authorities in the State of habitual residence have taken the measures required by the situation. An order under the equivalent provision in Brussels </w:t>
      </w:r>
      <w:proofErr w:type="spellStart"/>
      <w:r w:rsidRPr="00505C99">
        <w:rPr>
          <w:sz w:val="24"/>
          <w:szCs w:val="24"/>
        </w:rPr>
        <w:t>IIa</w:t>
      </w:r>
      <w:proofErr w:type="spellEnd"/>
      <w:r w:rsidRPr="00505C99">
        <w:rPr>
          <w:sz w:val="24"/>
          <w:szCs w:val="24"/>
        </w:rPr>
        <w:t>, Article 20, carries no such extra-territorial effects</w:t>
      </w:r>
      <w:r w:rsidR="0075161A" w:rsidRPr="00505C99">
        <w:rPr>
          <w:sz w:val="24"/>
          <w:szCs w:val="24"/>
        </w:rPr>
        <w:t>. It is not clear whether Article 11 of the 1996 Convention can be invoked in intra-EU cases at the moment but it should be possible.</w:t>
      </w:r>
      <w:r w:rsidR="0075161A" w:rsidRPr="00505C99">
        <w:rPr>
          <w:rStyle w:val="FootnoteReference"/>
          <w:sz w:val="24"/>
          <w:szCs w:val="24"/>
        </w:rPr>
        <w:footnoteReference w:id="30"/>
      </w:r>
      <w:r w:rsidR="0075161A" w:rsidRPr="00505C99">
        <w:rPr>
          <w:sz w:val="24"/>
          <w:szCs w:val="24"/>
        </w:rPr>
        <w:t xml:space="preserve"> If the Recast of Brussels </w:t>
      </w:r>
      <w:proofErr w:type="spellStart"/>
      <w:r w:rsidR="0075161A" w:rsidRPr="00505C99">
        <w:rPr>
          <w:sz w:val="24"/>
          <w:szCs w:val="24"/>
        </w:rPr>
        <w:t>IIa</w:t>
      </w:r>
      <w:proofErr w:type="spellEnd"/>
      <w:r w:rsidR="0075161A" w:rsidRPr="00505C99">
        <w:rPr>
          <w:sz w:val="24"/>
          <w:szCs w:val="24"/>
        </w:rPr>
        <w:t xml:space="preserve"> follows the Commission’s Proposal</w:t>
      </w:r>
      <w:r w:rsidR="00D800D9" w:rsidRPr="00505C99">
        <w:rPr>
          <w:sz w:val="24"/>
          <w:szCs w:val="24"/>
        </w:rPr>
        <w:t>,</w:t>
      </w:r>
      <w:r w:rsidR="0075161A" w:rsidRPr="00505C99">
        <w:rPr>
          <w:sz w:val="24"/>
          <w:szCs w:val="24"/>
        </w:rPr>
        <w:t xml:space="preserve"> then this problem will be solved by moving Article 20 on provisional and protective measures to the new Article 12 within the </w:t>
      </w:r>
      <w:r w:rsidR="00C04A79" w:rsidRPr="00505C99">
        <w:rPr>
          <w:sz w:val="24"/>
          <w:szCs w:val="24"/>
        </w:rPr>
        <w:t xml:space="preserve">core part of the </w:t>
      </w:r>
      <w:r w:rsidR="0075161A" w:rsidRPr="00505C99">
        <w:rPr>
          <w:sz w:val="24"/>
          <w:szCs w:val="24"/>
        </w:rPr>
        <w:t>jurisdiction chapter and thereby enabling the measures to be recognised and enforced in other EU Member States.</w:t>
      </w:r>
      <w:r w:rsidR="0075161A" w:rsidRPr="00505C99">
        <w:rPr>
          <w:rStyle w:val="FootnoteReference"/>
          <w:sz w:val="24"/>
          <w:szCs w:val="24"/>
        </w:rPr>
        <w:footnoteReference w:id="31"/>
      </w:r>
      <w:r w:rsidR="0075161A" w:rsidRPr="00505C99">
        <w:rPr>
          <w:sz w:val="24"/>
          <w:szCs w:val="24"/>
        </w:rPr>
        <w:t xml:space="preserve"> </w:t>
      </w:r>
    </w:p>
    <w:p w14:paraId="6C2D22CC" w14:textId="77777777" w:rsidR="00DF0B74" w:rsidRPr="00505C99" w:rsidRDefault="00DF0B74" w:rsidP="00505C99">
      <w:pPr>
        <w:spacing w:line="360" w:lineRule="auto"/>
        <w:jc w:val="both"/>
        <w:rPr>
          <w:sz w:val="24"/>
          <w:szCs w:val="24"/>
        </w:rPr>
      </w:pPr>
    </w:p>
    <w:p w14:paraId="1A9CE186" w14:textId="77777777" w:rsidR="00DF0B74" w:rsidRPr="00505C99" w:rsidRDefault="00DF0B74" w:rsidP="00505C99">
      <w:pPr>
        <w:spacing w:line="360" w:lineRule="auto"/>
        <w:jc w:val="both"/>
        <w:rPr>
          <w:sz w:val="24"/>
          <w:szCs w:val="24"/>
        </w:rPr>
      </w:pPr>
      <w:r w:rsidRPr="00505C99">
        <w:rPr>
          <w:sz w:val="24"/>
          <w:szCs w:val="24"/>
        </w:rPr>
        <w:t>ii. Parental responsibility</w:t>
      </w:r>
    </w:p>
    <w:p w14:paraId="0F849D6F" w14:textId="77777777" w:rsidR="00DF0B74" w:rsidRPr="00505C99" w:rsidRDefault="00DF0B74" w:rsidP="00505C99">
      <w:pPr>
        <w:spacing w:line="360" w:lineRule="auto"/>
        <w:jc w:val="both"/>
        <w:rPr>
          <w:sz w:val="24"/>
          <w:szCs w:val="24"/>
        </w:rPr>
      </w:pPr>
    </w:p>
    <w:p w14:paraId="6D98774D" w14:textId="77777777" w:rsidR="004127CA" w:rsidRPr="00505C99" w:rsidRDefault="00DF0B74" w:rsidP="00505C99">
      <w:pPr>
        <w:spacing w:line="360" w:lineRule="auto"/>
        <w:jc w:val="both"/>
        <w:rPr>
          <w:sz w:val="24"/>
          <w:szCs w:val="24"/>
        </w:rPr>
      </w:pPr>
      <w:r w:rsidRPr="00505C99">
        <w:rPr>
          <w:sz w:val="24"/>
          <w:szCs w:val="24"/>
        </w:rPr>
        <w:t xml:space="preserve">The rules in </w:t>
      </w:r>
      <w:r w:rsidR="00C04A79" w:rsidRPr="00505C99">
        <w:rPr>
          <w:sz w:val="24"/>
          <w:szCs w:val="24"/>
        </w:rPr>
        <w:t xml:space="preserve">Hague </w:t>
      </w:r>
      <w:r w:rsidRPr="00505C99">
        <w:rPr>
          <w:sz w:val="24"/>
          <w:szCs w:val="24"/>
        </w:rPr>
        <w:t xml:space="preserve">1996 and Brussels </w:t>
      </w:r>
      <w:proofErr w:type="spellStart"/>
      <w:r w:rsidRPr="00505C99">
        <w:rPr>
          <w:sz w:val="24"/>
          <w:szCs w:val="24"/>
        </w:rPr>
        <w:t>IIa</w:t>
      </w:r>
      <w:proofErr w:type="spellEnd"/>
      <w:r w:rsidRPr="00505C99">
        <w:rPr>
          <w:sz w:val="24"/>
          <w:szCs w:val="24"/>
        </w:rPr>
        <w:t xml:space="preserve"> are very similar.  This is no surprise as the latter was modelled on the former with a view to paving the way for </w:t>
      </w:r>
      <w:r w:rsidR="00C04A79" w:rsidRPr="00505C99">
        <w:rPr>
          <w:sz w:val="24"/>
          <w:szCs w:val="24"/>
        </w:rPr>
        <w:t>Hague 1</w:t>
      </w:r>
      <w:r w:rsidRPr="00505C99">
        <w:rPr>
          <w:sz w:val="24"/>
          <w:szCs w:val="24"/>
        </w:rPr>
        <w:t xml:space="preserve">996 to be part of the EU </w:t>
      </w:r>
      <w:r w:rsidRPr="00505C99">
        <w:rPr>
          <w:i/>
          <w:sz w:val="24"/>
          <w:szCs w:val="24"/>
        </w:rPr>
        <w:t>acquis</w:t>
      </w:r>
      <w:r w:rsidRPr="00505C99">
        <w:rPr>
          <w:sz w:val="24"/>
          <w:szCs w:val="24"/>
        </w:rPr>
        <w:t xml:space="preserve">. The differences are subtle. </w:t>
      </w:r>
    </w:p>
    <w:p w14:paraId="0D25A5DC" w14:textId="77777777" w:rsidR="004127CA" w:rsidRPr="00505C99" w:rsidRDefault="004127CA" w:rsidP="00505C99">
      <w:pPr>
        <w:spacing w:line="360" w:lineRule="auto"/>
        <w:jc w:val="both"/>
        <w:rPr>
          <w:sz w:val="24"/>
          <w:szCs w:val="24"/>
        </w:rPr>
      </w:pPr>
    </w:p>
    <w:p w14:paraId="78589726" w14:textId="77777777" w:rsidR="004127CA" w:rsidRPr="00505C99" w:rsidRDefault="004127CA" w:rsidP="00505C99">
      <w:pPr>
        <w:spacing w:line="360" w:lineRule="auto"/>
        <w:jc w:val="both"/>
        <w:rPr>
          <w:sz w:val="24"/>
          <w:szCs w:val="24"/>
        </w:rPr>
      </w:pPr>
      <w:r w:rsidRPr="00505C99">
        <w:rPr>
          <w:sz w:val="24"/>
          <w:szCs w:val="24"/>
        </w:rPr>
        <w:t>a) Transfer</w:t>
      </w:r>
    </w:p>
    <w:p w14:paraId="79AB8FC7" w14:textId="77777777" w:rsidR="004127CA" w:rsidRPr="00505C99" w:rsidRDefault="004127CA" w:rsidP="00505C99">
      <w:pPr>
        <w:spacing w:line="360" w:lineRule="auto"/>
        <w:jc w:val="both"/>
        <w:rPr>
          <w:sz w:val="24"/>
          <w:szCs w:val="24"/>
        </w:rPr>
      </w:pPr>
    </w:p>
    <w:p w14:paraId="45B7B29D" w14:textId="77777777" w:rsidR="004127CA" w:rsidRPr="00505C99" w:rsidRDefault="004127CA" w:rsidP="00505C99">
      <w:pPr>
        <w:spacing w:line="360" w:lineRule="auto"/>
        <w:jc w:val="both"/>
        <w:rPr>
          <w:sz w:val="24"/>
          <w:szCs w:val="24"/>
        </w:rPr>
      </w:pPr>
      <w:r w:rsidRPr="00505C99">
        <w:rPr>
          <w:sz w:val="24"/>
          <w:szCs w:val="24"/>
        </w:rPr>
        <w:t xml:space="preserve">The subtle nature of the differences is particularly evident in the transfer provision for parental responsibility and access cases found in Article 15 of Brussels </w:t>
      </w:r>
      <w:proofErr w:type="spellStart"/>
      <w:r w:rsidRPr="00505C99">
        <w:rPr>
          <w:sz w:val="24"/>
          <w:szCs w:val="24"/>
        </w:rPr>
        <w:t>IIa</w:t>
      </w:r>
      <w:proofErr w:type="spellEnd"/>
      <w:r w:rsidRPr="00505C99">
        <w:rPr>
          <w:sz w:val="24"/>
          <w:szCs w:val="24"/>
        </w:rPr>
        <w:t xml:space="preserve"> and Articles 8 and 9 of Hague 1996.</w:t>
      </w:r>
      <w:r w:rsidR="0035076E" w:rsidRPr="00505C99">
        <w:rPr>
          <w:sz w:val="24"/>
          <w:szCs w:val="24"/>
        </w:rPr>
        <w:t xml:space="preserve"> In both cases it is important to stress that transfer of the jurisdiction to decide the issue in hand does not require the child to move to the place where the case will be decided, if the child is not already present there, pending the decision on the merits.</w:t>
      </w:r>
    </w:p>
    <w:p w14:paraId="334C0B7A" w14:textId="77777777" w:rsidR="004127CA" w:rsidRPr="00505C99" w:rsidRDefault="004127CA" w:rsidP="00505C99">
      <w:pPr>
        <w:spacing w:line="360" w:lineRule="auto"/>
        <w:jc w:val="both"/>
        <w:rPr>
          <w:sz w:val="24"/>
          <w:szCs w:val="24"/>
        </w:rPr>
      </w:pPr>
    </w:p>
    <w:p w14:paraId="07610404" w14:textId="783DCD58" w:rsidR="004127CA" w:rsidRPr="00505C99" w:rsidRDefault="004127CA" w:rsidP="00505C99">
      <w:pPr>
        <w:spacing w:line="360" w:lineRule="auto"/>
        <w:jc w:val="both"/>
        <w:rPr>
          <w:sz w:val="24"/>
          <w:szCs w:val="24"/>
        </w:rPr>
      </w:pPr>
      <w:r w:rsidRPr="00505C99">
        <w:rPr>
          <w:sz w:val="24"/>
          <w:szCs w:val="24"/>
        </w:rPr>
        <w:t xml:space="preserve">1) </w:t>
      </w:r>
      <w:r w:rsidRPr="00505C99">
        <w:rPr>
          <w:i/>
          <w:sz w:val="24"/>
          <w:szCs w:val="24"/>
        </w:rPr>
        <w:t>Disconnection problem</w:t>
      </w:r>
      <w:r w:rsidRPr="00505C99">
        <w:rPr>
          <w:sz w:val="24"/>
          <w:szCs w:val="24"/>
        </w:rPr>
        <w:t xml:space="preserve"> – </w:t>
      </w:r>
      <w:r w:rsidR="002D78E5" w:rsidRPr="00505C99">
        <w:rPr>
          <w:sz w:val="24"/>
          <w:szCs w:val="24"/>
        </w:rPr>
        <w:t xml:space="preserve">Currently </w:t>
      </w:r>
      <w:r w:rsidRPr="00505C99">
        <w:rPr>
          <w:sz w:val="24"/>
          <w:szCs w:val="24"/>
        </w:rPr>
        <w:t xml:space="preserve">Brussels </w:t>
      </w:r>
      <w:proofErr w:type="spellStart"/>
      <w:r w:rsidRPr="00505C99">
        <w:rPr>
          <w:sz w:val="24"/>
          <w:szCs w:val="24"/>
        </w:rPr>
        <w:t>IIa</w:t>
      </w:r>
      <w:proofErr w:type="spellEnd"/>
      <w:r w:rsidRPr="00505C99">
        <w:rPr>
          <w:sz w:val="24"/>
          <w:szCs w:val="24"/>
        </w:rPr>
        <w:t xml:space="preserve"> makes it impossible for an EU court to transfer a case to a non-EU court of a Hague 1996 Convention Contracting State (</w:t>
      </w:r>
      <w:proofErr w:type="spellStart"/>
      <w:r w:rsidRPr="00505C99">
        <w:rPr>
          <w:sz w:val="24"/>
          <w:szCs w:val="24"/>
        </w:rPr>
        <w:t>eg</w:t>
      </w:r>
      <w:proofErr w:type="spellEnd"/>
      <w:r w:rsidRPr="00505C99">
        <w:rPr>
          <w:sz w:val="24"/>
          <w:szCs w:val="24"/>
        </w:rPr>
        <w:t xml:space="preserve"> Australia) whenever the child is habitually resident in any EU Member State.</w:t>
      </w:r>
      <w:r w:rsidRPr="00505C99">
        <w:rPr>
          <w:sz w:val="24"/>
          <w:szCs w:val="24"/>
          <w:vertAlign w:val="superscript"/>
        </w:rPr>
        <w:footnoteReference w:id="32"/>
      </w:r>
      <w:r w:rsidRPr="00505C99">
        <w:rPr>
          <w:sz w:val="24"/>
          <w:szCs w:val="24"/>
        </w:rPr>
        <w:t xml:space="preserve">  This means that EU Member States are not able to comply with the spirit </w:t>
      </w:r>
      <w:r w:rsidR="00C61CE7" w:rsidRPr="00505C99">
        <w:rPr>
          <w:sz w:val="24"/>
          <w:szCs w:val="24"/>
        </w:rPr>
        <w:t xml:space="preserve">(and arguably the letter) </w:t>
      </w:r>
      <w:r w:rsidRPr="00505C99">
        <w:rPr>
          <w:sz w:val="24"/>
          <w:szCs w:val="24"/>
        </w:rPr>
        <w:t xml:space="preserve">of the 1996 Convention but this will be rectified if the Commission’s </w:t>
      </w:r>
      <w:r w:rsidR="00C61CE7" w:rsidRPr="00505C99">
        <w:rPr>
          <w:sz w:val="24"/>
          <w:szCs w:val="24"/>
        </w:rPr>
        <w:t>P</w:t>
      </w:r>
      <w:r w:rsidRPr="00505C99">
        <w:rPr>
          <w:sz w:val="24"/>
          <w:szCs w:val="24"/>
        </w:rPr>
        <w:t xml:space="preserve">roposal for the Recast of Brussels </w:t>
      </w:r>
      <w:proofErr w:type="spellStart"/>
      <w:r w:rsidRPr="00505C99">
        <w:rPr>
          <w:sz w:val="24"/>
          <w:szCs w:val="24"/>
        </w:rPr>
        <w:t>IIa</w:t>
      </w:r>
      <w:proofErr w:type="spellEnd"/>
      <w:r w:rsidRPr="00505C99">
        <w:rPr>
          <w:sz w:val="24"/>
          <w:szCs w:val="24"/>
        </w:rPr>
        <w:t xml:space="preserve"> is accepted.</w:t>
      </w:r>
      <w:r w:rsidRPr="00505C99">
        <w:rPr>
          <w:sz w:val="24"/>
          <w:szCs w:val="24"/>
          <w:vertAlign w:val="superscript"/>
        </w:rPr>
        <w:footnoteReference w:id="33"/>
      </w:r>
    </w:p>
    <w:p w14:paraId="2FE3C5E0" w14:textId="77777777" w:rsidR="004127CA" w:rsidRPr="00505C99" w:rsidRDefault="004127CA" w:rsidP="00505C99">
      <w:pPr>
        <w:spacing w:line="360" w:lineRule="auto"/>
        <w:jc w:val="both"/>
        <w:rPr>
          <w:sz w:val="24"/>
          <w:szCs w:val="24"/>
        </w:rPr>
      </w:pPr>
    </w:p>
    <w:p w14:paraId="502AF399" w14:textId="4B430A43" w:rsidR="004127CA" w:rsidRPr="00505C99" w:rsidRDefault="004127CA" w:rsidP="00505C99">
      <w:pPr>
        <w:spacing w:line="360" w:lineRule="auto"/>
        <w:jc w:val="both"/>
        <w:rPr>
          <w:sz w:val="24"/>
          <w:szCs w:val="24"/>
          <w:lang w:val="en-IE"/>
        </w:rPr>
      </w:pPr>
      <w:r w:rsidRPr="00505C99">
        <w:rPr>
          <w:sz w:val="24"/>
          <w:szCs w:val="24"/>
        </w:rPr>
        <w:t xml:space="preserve">2) </w:t>
      </w:r>
      <w:r w:rsidRPr="00505C99">
        <w:rPr>
          <w:i/>
          <w:sz w:val="24"/>
          <w:szCs w:val="24"/>
        </w:rPr>
        <w:t>Extent of the requirement to assess whether it is in the best interests of the child for the transferee court to assume jurisdiction</w:t>
      </w:r>
      <w:r w:rsidRPr="00505C99">
        <w:rPr>
          <w:sz w:val="24"/>
          <w:szCs w:val="24"/>
        </w:rPr>
        <w:t xml:space="preserve"> - </w:t>
      </w:r>
      <w:r w:rsidR="002D78E5" w:rsidRPr="00505C99">
        <w:rPr>
          <w:sz w:val="24"/>
          <w:szCs w:val="24"/>
        </w:rPr>
        <w:t>U</w:t>
      </w:r>
      <w:r w:rsidRPr="00505C99">
        <w:rPr>
          <w:sz w:val="24"/>
          <w:szCs w:val="24"/>
        </w:rPr>
        <w:t xml:space="preserve">nder Brussels </w:t>
      </w:r>
      <w:proofErr w:type="spellStart"/>
      <w:r w:rsidRPr="00505C99">
        <w:rPr>
          <w:sz w:val="24"/>
          <w:szCs w:val="24"/>
        </w:rPr>
        <w:t>IIa</w:t>
      </w:r>
      <w:proofErr w:type="spellEnd"/>
      <w:r w:rsidRPr="00505C99">
        <w:rPr>
          <w:sz w:val="24"/>
          <w:szCs w:val="24"/>
        </w:rPr>
        <w:t xml:space="preserve"> the court with jurisdiction may transfer the case to another court in the EU if it </w:t>
      </w:r>
      <w:r w:rsidR="00C73B21" w:rsidRPr="00505C99">
        <w:rPr>
          <w:sz w:val="24"/>
          <w:szCs w:val="24"/>
        </w:rPr>
        <w:t>‘</w:t>
      </w:r>
      <w:r w:rsidRPr="00505C99">
        <w:rPr>
          <w:sz w:val="24"/>
          <w:szCs w:val="24"/>
        </w:rPr>
        <w:t>is in the best interests of the child</w:t>
      </w:r>
      <w:r w:rsidR="00C73B21" w:rsidRPr="00505C99">
        <w:rPr>
          <w:sz w:val="24"/>
          <w:szCs w:val="24"/>
        </w:rPr>
        <w:t>’</w:t>
      </w:r>
      <w:r w:rsidRPr="00505C99">
        <w:rPr>
          <w:sz w:val="24"/>
          <w:szCs w:val="24"/>
        </w:rPr>
        <w:t xml:space="preserve"> (Article 15(1)) and if it decides to transfer the case the other court must only accept it if it decides that it is in the best interests of the child to do so (Article 15(5)).  In contrast, under Hague 1996</w:t>
      </w:r>
      <w:r w:rsidR="00C61CE7" w:rsidRPr="00505C99">
        <w:rPr>
          <w:sz w:val="24"/>
          <w:szCs w:val="24"/>
        </w:rPr>
        <w:t xml:space="preserve"> in transfers between Contracting States</w:t>
      </w:r>
      <w:r w:rsidRPr="00505C99">
        <w:rPr>
          <w:sz w:val="24"/>
          <w:szCs w:val="24"/>
        </w:rPr>
        <w:t xml:space="preserve"> it is only the court that is asked to accept the transfer </w:t>
      </w:r>
      <w:r w:rsidR="00C73B21" w:rsidRPr="00505C99">
        <w:rPr>
          <w:sz w:val="24"/>
          <w:szCs w:val="24"/>
        </w:rPr>
        <w:t>that has to consider that this ‘</w:t>
      </w:r>
      <w:r w:rsidRPr="00505C99">
        <w:rPr>
          <w:sz w:val="24"/>
          <w:szCs w:val="24"/>
        </w:rPr>
        <w:t>is in the child’s best interests</w:t>
      </w:r>
      <w:r w:rsidR="00C73B21" w:rsidRPr="00505C99">
        <w:rPr>
          <w:sz w:val="24"/>
          <w:szCs w:val="24"/>
        </w:rPr>
        <w:t>’</w:t>
      </w:r>
      <w:r w:rsidRPr="00505C99">
        <w:rPr>
          <w:sz w:val="24"/>
          <w:szCs w:val="24"/>
        </w:rPr>
        <w:t xml:space="preserve"> (Article 8(4)).  In doing so it </w:t>
      </w:r>
      <w:r w:rsidRPr="00505C99">
        <w:rPr>
          <w:sz w:val="24"/>
          <w:szCs w:val="24"/>
          <w:lang w:val="en-IE"/>
        </w:rPr>
        <w:t>will be aware that if it decides that it is not in the best interests of the child for it to assume jurisdiction, the case in hand will have to be decided by the court that authorised the possible transfer of jurisdiction.</w:t>
      </w:r>
      <w:r w:rsidRPr="00505C99">
        <w:rPr>
          <w:sz w:val="24"/>
          <w:szCs w:val="24"/>
          <w:vertAlign w:val="superscript"/>
          <w:lang w:val="en-IE"/>
        </w:rPr>
        <w:footnoteReference w:id="34"/>
      </w:r>
      <w:r w:rsidRPr="00505C99">
        <w:rPr>
          <w:sz w:val="24"/>
          <w:szCs w:val="24"/>
          <w:lang w:val="en-IE"/>
        </w:rPr>
        <w:t xml:space="preserve"> If the court that does not have jurisdiction requests the case to be transferred to it under Article 9 of Hague 1996 there is no requirement under the letter of the Convention on any court to assess that the requesting court is correct to assume jurisdiction in </w:t>
      </w:r>
      <w:r w:rsidR="00C73B21" w:rsidRPr="00505C99">
        <w:rPr>
          <w:sz w:val="24"/>
          <w:szCs w:val="24"/>
          <w:lang w:val="en-IE"/>
        </w:rPr>
        <w:t>‘</w:t>
      </w:r>
      <w:r w:rsidRPr="00505C99">
        <w:rPr>
          <w:sz w:val="24"/>
          <w:szCs w:val="24"/>
          <w:lang w:val="en-IE"/>
        </w:rPr>
        <w:t>the child’s best interests</w:t>
      </w:r>
      <w:r w:rsidR="00C73B21" w:rsidRPr="00505C99">
        <w:rPr>
          <w:sz w:val="24"/>
          <w:szCs w:val="24"/>
          <w:lang w:val="en-IE"/>
        </w:rPr>
        <w:t>’</w:t>
      </w:r>
      <w:r w:rsidRPr="00505C99">
        <w:rPr>
          <w:sz w:val="24"/>
          <w:szCs w:val="24"/>
          <w:lang w:val="en-IE"/>
        </w:rPr>
        <w:t>.</w:t>
      </w:r>
      <w:r w:rsidRPr="00505C99">
        <w:rPr>
          <w:sz w:val="24"/>
          <w:szCs w:val="24"/>
          <w:vertAlign w:val="superscript"/>
          <w:lang w:val="en-IE"/>
        </w:rPr>
        <w:footnoteReference w:id="35"/>
      </w:r>
      <w:r w:rsidRPr="00505C99">
        <w:rPr>
          <w:sz w:val="24"/>
          <w:szCs w:val="24"/>
          <w:lang w:val="en-IE"/>
        </w:rPr>
        <w:t xml:space="preserve"> However, the Hague Conference on Private International Law’s Practical Handbook on Hague 1996 seems confident that this is an anomaly States are free to ignore because it asserts that:</w:t>
      </w:r>
    </w:p>
    <w:p w14:paraId="1AD00A87" w14:textId="77777777" w:rsidR="004127CA" w:rsidRPr="00505C99" w:rsidRDefault="004127CA" w:rsidP="00505C99">
      <w:pPr>
        <w:spacing w:line="360" w:lineRule="auto"/>
        <w:jc w:val="both"/>
        <w:rPr>
          <w:sz w:val="24"/>
          <w:szCs w:val="24"/>
          <w:lang w:val="en-IE"/>
        </w:rPr>
      </w:pPr>
    </w:p>
    <w:p w14:paraId="3A309DA2" w14:textId="77777777" w:rsidR="004127CA" w:rsidRPr="00505C99" w:rsidRDefault="004127CA" w:rsidP="00505C99">
      <w:pPr>
        <w:spacing w:line="360" w:lineRule="auto"/>
        <w:ind w:left="720"/>
        <w:jc w:val="both"/>
        <w:rPr>
          <w:sz w:val="24"/>
          <w:szCs w:val="24"/>
        </w:rPr>
      </w:pPr>
      <w:r w:rsidRPr="00505C99">
        <w:rPr>
          <w:sz w:val="24"/>
          <w:szCs w:val="24"/>
        </w:rPr>
        <w:t>The authority asked to assume or cede jurisdiction can only do so if it believes this is in the child’s best interests</w:t>
      </w:r>
      <w:r w:rsidRPr="00505C99">
        <w:rPr>
          <w:sz w:val="24"/>
          <w:szCs w:val="24"/>
          <w:vertAlign w:val="superscript"/>
        </w:rPr>
        <w:footnoteReference w:id="36"/>
      </w:r>
    </w:p>
    <w:p w14:paraId="761C195A" w14:textId="77777777" w:rsidR="004127CA" w:rsidRPr="00505C99" w:rsidRDefault="004127CA" w:rsidP="00505C99">
      <w:pPr>
        <w:spacing w:line="360" w:lineRule="auto"/>
        <w:jc w:val="both"/>
        <w:rPr>
          <w:sz w:val="24"/>
          <w:szCs w:val="24"/>
        </w:rPr>
      </w:pPr>
    </w:p>
    <w:p w14:paraId="2F05992B" w14:textId="77777777" w:rsidR="004127CA" w:rsidRPr="00505C99" w:rsidRDefault="004127CA" w:rsidP="00505C99">
      <w:pPr>
        <w:spacing w:line="360" w:lineRule="auto"/>
        <w:jc w:val="both"/>
        <w:rPr>
          <w:sz w:val="24"/>
          <w:szCs w:val="24"/>
        </w:rPr>
      </w:pPr>
      <w:r w:rsidRPr="00505C99">
        <w:rPr>
          <w:sz w:val="24"/>
          <w:szCs w:val="24"/>
        </w:rPr>
        <w:t>The Practical Handbook notes in a footnote immediately after the above statement that:</w:t>
      </w:r>
    </w:p>
    <w:p w14:paraId="04D1C9B0" w14:textId="77777777" w:rsidR="004127CA" w:rsidRPr="00505C99" w:rsidRDefault="004127CA" w:rsidP="00505C99">
      <w:pPr>
        <w:spacing w:line="360" w:lineRule="auto"/>
        <w:jc w:val="both"/>
        <w:rPr>
          <w:sz w:val="24"/>
          <w:szCs w:val="24"/>
        </w:rPr>
      </w:pPr>
    </w:p>
    <w:p w14:paraId="7F3307DA" w14:textId="77777777" w:rsidR="004127CA" w:rsidRPr="00505C99" w:rsidRDefault="004127CA" w:rsidP="00505C99">
      <w:pPr>
        <w:spacing w:line="360" w:lineRule="auto"/>
        <w:ind w:left="720"/>
        <w:jc w:val="both"/>
        <w:rPr>
          <w:sz w:val="24"/>
          <w:szCs w:val="24"/>
        </w:rPr>
      </w:pPr>
      <w:r w:rsidRPr="00505C99">
        <w:rPr>
          <w:sz w:val="24"/>
          <w:szCs w:val="24"/>
        </w:rPr>
        <w:t>This is stated explicitly in relation to the assumption of jurisdiction – see Art. 8(4). It is not stated explicitly in relation to ceding jurisdiction (see Art. 9(3), which refers only to the acceptance of the request). However, it is hard to imagine that a Contracting State would accept a request to transfer jurisdiction to another Contracting State where it did not consider it in the best interests of the child to do so.</w:t>
      </w:r>
      <w:r w:rsidRPr="00505C99">
        <w:rPr>
          <w:sz w:val="24"/>
          <w:szCs w:val="24"/>
          <w:vertAlign w:val="superscript"/>
        </w:rPr>
        <w:footnoteReference w:id="37"/>
      </w:r>
    </w:p>
    <w:p w14:paraId="63C128C2" w14:textId="77777777" w:rsidR="004127CA" w:rsidRPr="00505C99" w:rsidRDefault="004127CA" w:rsidP="00505C99">
      <w:pPr>
        <w:spacing w:line="360" w:lineRule="auto"/>
        <w:jc w:val="both"/>
        <w:rPr>
          <w:sz w:val="24"/>
          <w:szCs w:val="24"/>
        </w:rPr>
      </w:pPr>
    </w:p>
    <w:p w14:paraId="04459058" w14:textId="77777777" w:rsidR="004127CA" w:rsidRPr="00505C99" w:rsidRDefault="004127CA" w:rsidP="00505C99">
      <w:pPr>
        <w:spacing w:line="360" w:lineRule="auto"/>
        <w:jc w:val="both"/>
        <w:rPr>
          <w:sz w:val="24"/>
          <w:szCs w:val="24"/>
        </w:rPr>
      </w:pPr>
      <w:r w:rsidRPr="00505C99">
        <w:rPr>
          <w:sz w:val="24"/>
          <w:szCs w:val="24"/>
        </w:rPr>
        <w:t>It may just be an anomaly in the drafting of the 1996 Convention or it may be that in a situation where a court of a Contracting State is making a request to a court of another Contracting State for a transfer of jurisdiction the drafters were of the view that no analysis of whether it is in the child’s best interests to assume jurisdiction in the case in hand is necessary because the court that will end up exercising jurisdiction has initiated the process only after finding that it is better placed to assess the best interests of the child.</w:t>
      </w:r>
    </w:p>
    <w:p w14:paraId="7BBF28BA" w14:textId="77777777" w:rsidR="004127CA" w:rsidRPr="00505C99" w:rsidRDefault="004127CA" w:rsidP="00505C99">
      <w:pPr>
        <w:spacing w:line="360" w:lineRule="auto"/>
        <w:jc w:val="both"/>
        <w:rPr>
          <w:sz w:val="24"/>
          <w:szCs w:val="24"/>
        </w:rPr>
      </w:pPr>
    </w:p>
    <w:p w14:paraId="6F8A6094" w14:textId="77777777" w:rsidR="004127CA" w:rsidRPr="00505C99" w:rsidRDefault="004127CA" w:rsidP="00505C99">
      <w:pPr>
        <w:spacing w:line="360" w:lineRule="auto"/>
        <w:jc w:val="both"/>
        <w:rPr>
          <w:sz w:val="24"/>
          <w:szCs w:val="24"/>
        </w:rPr>
      </w:pPr>
      <w:r w:rsidRPr="00505C99">
        <w:rPr>
          <w:sz w:val="24"/>
          <w:szCs w:val="24"/>
        </w:rPr>
        <w:t xml:space="preserve">In any case it is very interesting to see that so far the CJEU has suggested a light touch in applying the best interests of the child test in assessing whether to assume jurisdiction in a transfer case under Article 15 of Brussels </w:t>
      </w:r>
      <w:proofErr w:type="spellStart"/>
      <w:r w:rsidRPr="00505C99">
        <w:rPr>
          <w:sz w:val="24"/>
          <w:szCs w:val="24"/>
        </w:rPr>
        <w:t>IIa</w:t>
      </w:r>
      <w:proofErr w:type="spellEnd"/>
      <w:r w:rsidRPr="00505C99">
        <w:rPr>
          <w:sz w:val="24"/>
          <w:szCs w:val="24"/>
        </w:rPr>
        <w:t>. The CJEU does not require the transferring court to consider that it will positively be in the best interests of the child to transfer the case to another court but only that:</w:t>
      </w:r>
    </w:p>
    <w:p w14:paraId="2AA7F518" w14:textId="77777777" w:rsidR="004127CA" w:rsidRPr="00505C99" w:rsidRDefault="004127CA" w:rsidP="00505C99">
      <w:pPr>
        <w:spacing w:line="360" w:lineRule="auto"/>
        <w:jc w:val="both"/>
        <w:rPr>
          <w:sz w:val="24"/>
          <w:szCs w:val="24"/>
        </w:rPr>
      </w:pPr>
    </w:p>
    <w:p w14:paraId="08725FC8" w14:textId="77777777" w:rsidR="004127CA" w:rsidRPr="00505C99" w:rsidRDefault="004127CA" w:rsidP="00505C99">
      <w:pPr>
        <w:spacing w:line="360" w:lineRule="auto"/>
        <w:ind w:left="720"/>
        <w:jc w:val="both"/>
        <w:rPr>
          <w:sz w:val="24"/>
          <w:szCs w:val="24"/>
          <w:lang w:val="en-IE"/>
        </w:rPr>
      </w:pPr>
      <w:proofErr w:type="gramStart"/>
      <w:r w:rsidRPr="00505C99">
        <w:rPr>
          <w:sz w:val="24"/>
          <w:szCs w:val="24"/>
          <w:lang w:val="en-IE"/>
        </w:rPr>
        <w:t>the</w:t>
      </w:r>
      <w:proofErr w:type="gramEnd"/>
      <w:r w:rsidRPr="00505C99">
        <w:rPr>
          <w:sz w:val="24"/>
          <w:szCs w:val="24"/>
          <w:lang w:val="en-IE"/>
        </w:rPr>
        <w:t xml:space="preserve"> envisaged transfer of the case to a court of another Member State is not liable to be detrimental to the situation of the child concerned. To that end, the court having jurisdiction must assess any negative effects that such a transfer might have on the familial, social and emotional attachments of the child concerned in the case or on that child’s material situation.</w:t>
      </w:r>
      <w:r w:rsidRPr="00505C99">
        <w:rPr>
          <w:sz w:val="24"/>
          <w:szCs w:val="24"/>
          <w:vertAlign w:val="superscript"/>
          <w:lang w:val="en-IE"/>
        </w:rPr>
        <w:footnoteReference w:id="38"/>
      </w:r>
      <w:r w:rsidRPr="00505C99">
        <w:rPr>
          <w:sz w:val="24"/>
          <w:szCs w:val="24"/>
          <w:lang w:val="en-IE"/>
        </w:rPr>
        <w:t xml:space="preserve"> </w:t>
      </w:r>
    </w:p>
    <w:p w14:paraId="26D128C4" w14:textId="77777777" w:rsidR="004127CA" w:rsidRPr="00505C99" w:rsidRDefault="004127CA" w:rsidP="00505C99">
      <w:pPr>
        <w:spacing w:line="360" w:lineRule="auto"/>
        <w:jc w:val="both"/>
        <w:rPr>
          <w:sz w:val="24"/>
          <w:szCs w:val="24"/>
          <w:lang w:val="en-IE"/>
        </w:rPr>
      </w:pPr>
    </w:p>
    <w:p w14:paraId="4115A804" w14:textId="1F7B8DE2" w:rsidR="004127CA" w:rsidRPr="00505C99" w:rsidRDefault="004127CA" w:rsidP="00505C99">
      <w:pPr>
        <w:spacing w:line="360" w:lineRule="auto"/>
        <w:jc w:val="both"/>
        <w:rPr>
          <w:sz w:val="24"/>
          <w:szCs w:val="24"/>
        </w:rPr>
      </w:pPr>
      <w:r w:rsidRPr="00505C99">
        <w:rPr>
          <w:sz w:val="24"/>
          <w:szCs w:val="24"/>
          <w:lang w:val="en-IE"/>
        </w:rPr>
        <w:t>This interpretation by the CJEU does seem to make a potential difference from a strict application of a best interests test</w:t>
      </w:r>
      <w:r w:rsidRPr="00505C99">
        <w:rPr>
          <w:sz w:val="24"/>
          <w:szCs w:val="24"/>
        </w:rPr>
        <w:t>.</w:t>
      </w:r>
      <w:r w:rsidRPr="00505C99">
        <w:rPr>
          <w:sz w:val="24"/>
          <w:szCs w:val="24"/>
          <w:lang w:val="en-US"/>
        </w:rPr>
        <w:t xml:space="preserve"> </w:t>
      </w:r>
      <w:r w:rsidR="002D78E5" w:rsidRPr="00505C99">
        <w:rPr>
          <w:sz w:val="24"/>
          <w:szCs w:val="24"/>
          <w:lang w:val="en-US"/>
        </w:rPr>
        <w:t>It may be</w:t>
      </w:r>
      <w:r w:rsidRPr="00505C99">
        <w:rPr>
          <w:sz w:val="24"/>
          <w:szCs w:val="24"/>
          <w:lang w:val="en-US"/>
        </w:rPr>
        <w:t xml:space="preserve"> harder to prove</w:t>
      </w:r>
      <w:r w:rsidR="002D78E5" w:rsidRPr="00505C99">
        <w:rPr>
          <w:sz w:val="24"/>
          <w:szCs w:val="24"/>
          <w:lang w:val="en-US"/>
        </w:rPr>
        <w:t xml:space="preserve"> in an individual case</w:t>
      </w:r>
      <w:r w:rsidRPr="00505C99">
        <w:rPr>
          <w:sz w:val="24"/>
          <w:szCs w:val="24"/>
          <w:lang w:val="en-US"/>
        </w:rPr>
        <w:t xml:space="preserve"> that it is in the best interests of the child for another court to assume jurisdiction than to just have to satisfy the judge that the transfer is not detrimental to the child.  </w:t>
      </w:r>
    </w:p>
    <w:p w14:paraId="76DB7FDC" w14:textId="77777777" w:rsidR="004127CA" w:rsidRPr="00505C99" w:rsidRDefault="004127CA" w:rsidP="00505C99">
      <w:pPr>
        <w:spacing w:line="360" w:lineRule="auto"/>
        <w:jc w:val="both"/>
        <w:rPr>
          <w:sz w:val="24"/>
          <w:szCs w:val="24"/>
          <w:lang w:val="en-IE"/>
        </w:rPr>
      </w:pPr>
    </w:p>
    <w:p w14:paraId="5DC51607" w14:textId="55610164" w:rsidR="004127CA" w:rsidRPr="00505C99" w:rsidRDefault="004127CA" w:rsidP="00505C99">
      <w:pPr>
        <w:spacing w:line="360" w:lineRule="auto"/>
        <w:jc w:val="both"/>
        <w:rPr>
          <w:sz w:val="24"/>
          <w:szCs w:val="24"/>
        </w:rPr>
      </w:pPr>
      <w:r w:rsidRPr="00505C99">
        <w:rPr>
          <w:sz w:val="24"/>
          <w:szCs w:val="24"/>
          <w:lang w:val="en-IE"/>
        </w:rPr>
        <w:t xml:space="preserve">3) </w:t>
      </w:r>
      <w:r w:rsidRPr="00505C99">
        <w:rPr>
          <w:i/>
          <w:sz w:val="24"/>
          <w:szCs w:val="24"/>
          <w:lang w:val="en-IE"/>
        </w:rPr>
        <w:t xml:space="preserve">Assessment of whether the transferee court is </w:t>
      </w:r>
      <w:r w:rsidR="007769CF" w:rsidRPr="00505C99">
        <w:rPr>
          <w:i/>
          <w:sz w:val="24"/>
          <w:szCs w:val="24"/>
          <w:lang w:val="en-IE"/>
        </w:rPr>
        <w:t>‘</w:t>
      </w:r>
      <w:r w:rsidRPr="00505C99">
        <w:rPr>
          <w:i/>
          <w:sz w:val="24"/>
          <w:szCs w:val="24"/>
          <w:lang w:val="en-IE"/>
        </w:rPr>
        <w:t>better placed to hear the case</w:t>
      </w:r>
      <w:r w:rsidR="007769CF" w:rsidRPr="00505C99">
        <w:rPr>
          <w:i/>
          <w:sz w:val="24"/>
          <w:szCs w:val="24"/>
          <w:lang w:val="en-IE"/>
        </w:rPr>
        <w:t>’</w:t>
      </w:r>
      <w:r w:rsidRPr="00505C99">
        <w:rPr>
          <w:i/>
          <w:sz w:val="24"/>
          <w:szCs w:val="24"/>
          <w:lang w:val="en-IE"/>
        </w:rPr>
        <w:t xml:space="preserve"> under Brussels </w:t>
      </w:r>
      <w:proofErr w:type="spellStart"/>
      <w:r w:rsidRPr="00505C99">
        <w:rPr>
          <w:i/>
          <w:sz w:val="24"/>
          <w:szCs w:val="24"/>
          <w:lang w:val="en-IE"/>
        </w:rPr>
        <w:t>IIa</w:t>
      </w:r>
      <w:proofErr w:type="spellEnd"/>
      <w:r w:rsidRPr="00505C99">
        <w:rPr>
          <w:i/>
          <w:sz w:val="24"/>
          <w:szCs w:val="24"/>
          <w:lang w:val="en-IE"/>
        </w:rPr>
        <w:t xml:space="preserve"> or </w:t>
      </w:r>
      <w:r w:rsidR="009F19B6" w:rsidRPr="00505C99">
        <w:rPr>
          <w:i/>
          <w:sz w:val="24"/>
          <w:szCs w:val="24"/>
          <w:lang w:val="en-IE"/>
        </w:rPr>
        <w:t>‘</w:t>
      </w:r>
      <w:r w:rsidRPr="00505C99">
        <w:rPr>
          <w:i/>
          <w:sz w:val="24"/>
          <w:szCs w:val="24"/>
          <w:lang w:val="en-IE"/>
        </w:rPr>
        <w:t>better placed to assess the best interests of the child</w:t>
      </w:r>
      <w:r w:rsidR="009F19B6" w:rsidRPr="00505C99">
        <w:rPr>
          <w:i/>
          <w:sz w:val="24"/>
          <w:szCs w:val="24"/>
          <w:lang w:val="en-IE"/>
        </w:rPr>
        <w:t>’</w:t>
      </w:r>
      <w:r w:rsidRPr="00505C99">
        <w:rPr>
          <w:i/>
          <w:sz w:val="24"/>
          <w:szCs w:val="24"/>
          <w:lang w:val="en-IE"/>
        </w:rPr>
        <w:t xml:space="preserve"> under Hague 1996</w:t>
      </w:r>
      <w:r w:rsidRPr="00505C99">
        <w:rPr>
          <w:sz w:val="24"/>
          <w:szCs w:val="24"/>
          <w:lang w:val="en-IE"/>
        </w:rPr>
        <w:t xml:space="preserve"> – </w:t>
      </w:r>
      <w:r w:rsidR="004519C4" w:rsidRPr="00505C99">
        <w:rPr>
          <w:sz w:val="24"/>
          <w:szCs w:val="24"/>
          <w:lang w:val="en-IE"/>
        </w:rPr>
        <w:t>U</w:t>
      </w:r>
      <w:r w:rsidRPr="00505C99">
        <w:rPr>
          <w:sz w:val="24"/>
          <w:szCs w:val="24"/>
          <w:lang w:val="en-IE"/>
        </w:rPr>
        <w:t>nder Hague 1996 t</w:t>
      </w:r>
      <w:r w:rsidRPr="00505C99">
        <w:rPr>
          <w:sz w:val="24"/>
          <w:szCs w:val="24"/>
        </w:rPr>
        <w:t xml:space="preserve">he court considering giving up its jurisdiction is asked to consider whether the other court is better placed in the particular case to </w:t>
      </w:r>
      <w:r w:rsidR="007769CF" w:rsidRPr="00505C99">
        <w:rPr>
          <w:sz w:val="24"/>
          <w:szCs w:val="24"/>
        </w:rPr>
        <w:t>‘</w:t>
      </w:r>
      <w:r w:rsidRPr="00505C99">
        <w:rPr>
          <w:sz w:val="24"/>
          <w:szCs w:val="24"/>
        </w:rPr>
        <w:t>assess the best interests of the child</w:t>
      </w:r>
      <w:r w:rsidR="007769CF" w:rsidRPr="00505C99">
        <w:rPr>
          <w:sz w:val="24"/>
          <w:szCs w:val="24"/>
        </w:rPr>
        <w:t>’</w:t>
      </w:r>
      <w:r w:rsidRPr="00505C99">
        <w:rPr>
          <w:sz w:val="24"/>
          <w:szCs w:val="24"/>
        </w:rPr>
        <w:t xml:space="preserve"> (Article 8(1)) and before a court that does not have jurisdiction over the parental responsibility of the child can request the court having such jurisdiction to authorise them to exercise jurisdiction in a particular ca</w:t>
      </w:r>
      <w:r w:rsidR="009F19B6" w:rsidRPr="00505C99">
        <w:rPr>
          <w:sz w:val="24"/>
          <w:szCs w:val="24"/>
        </w:rPr>
        <w:t>se it must consider that it is ‘</w:t>
      </w:r>
      <w:r w:rsidRPr="00505C99">
        <w:rPr>
          <w:sz w:val="24"/>
          <w:szCs w:val="24"/>
        </w:rPr>
        <w:t>better placed in the particular case to assess the child’s best interests</w:t>
      </w:r>
      <w:r w:rsidR="009F19B6" w:rsidRPr="00505C99">
        <w:rPr>
          <w:sz w:val="24"/>
          <w:szCs w:val="24"/>
        </w:rPr>
        <w:t>’</w:t>
      </w:r>
      <w:r w:rsidRPr="00505C99">
        <w:rPr>
          <w:sz w:val="24"/>
          <w:szCs w:val="24"/>
        </w:rPr>
        <w:t xml:space="preserve"> (Article 9(1)).</w:t>
      </w:r>
      <w:r w:rsidRPr="00505C99">
        <w:rPr>
          <w:sz w:val="24"/>
          <w:szCs w:val="24"/>
          <w:vertAlign w:val="superscript"/>
        </w:rPr>
        <w:footnoteReference w:id="39"/>
      </w:r>
    </w:p>
    <w:p w14:paraId="6CEAF52A" w14:textId="77777777" w:rsidR="004127CA" w:rsidRPr="00505C99" w:rsidRDefault="004127CA" w:rsidP="00505C99">
      <w:pPr>
        <w:spacing w:line="360" w:lineRule="auto"/>
        <w:jc w:val="both"/>
        <w:rPr>
          <w:sz w:val="24"/>
          <w:szCs w:val="24"/>
        </w:rPr>
      </w:pPr>
    </w:p>
    <w:p w14:paraId="0CCC384F" w14:textId="77777777" w:rsidR="004127CA" w:rsidRPr="00505C99" w:rsidRDefault="004127CA" w:rsidP="00505C99">
      <w:pPr>
        <w:spacing w:line="360" w:lineRule="auto"/>
        <w:jc w:val="both"/>
        <w:rPr>
          <w:sz w:val="24"/>
          <w:szCs w:val="24"/>
        </w:rPr>
      </w:pPr>
      <w:r w:rsidRPr="00505C99">
        <w:rPr>
          <w:sz w:val="24"/>
          <w:szCs w:val="24"/>
        </w:rPr>
        <w:t xml:space="preserve">Under Article 15 of Brussels </w:t>
      </w:r>
      <w:proofErr w:type="spellStart"/>
      <w:r w:rsidRPr="00505C99">
        <w:rPr>
          <w:sz w:val="24"/>
          <w:szCs w:val="24"/>
        </w:rPr>
        <w:t>IIa</w:t>
      </w:r>
      <w:proofErr w:type="spellEnd"/>
      <w:r w:rsidRPr="00505C99">
        <w:rPr>
          <w:sz w:val="24"/>
          <w:szCs w:val="24"/>
        </w:rPr>
        <w:t xml:space="preserve"> the competent court can only offer to transfer the case if the other court is a better placed court to deal with the case in issue.</w:t>
      </w:r>
      <w:r w:rsidRPr="00505C99">
        <w:rPr>
          <w:sz w:val="24"/>
          <w:szCs w:val="24"/>
          <w:vertAlign w:val="superscript"/>
        </w:rPr>
        <w:footnoteReference w:id="40"/>
      </w:r>
      <w:r w:rsidRPr="00505C99">
        <w:rPr>
          <w:sz w:val="24"/>
          <w:szCs w:val="24"/>
        </w:rPr>
        <w:t xml:space="preserve">  </w:t>
      </w:r>
    </w:p>
    <w:p w14:paraId="1198DF7B" w14:textId="77777777" w:rsidR="004127CA" w:rsidRPr="00505C99" w:rsidRDefault="004127CA" w:rsidP="00505C99">
      <w:pPr>
        <w:spacing w:line="360" w:lineRule="auto"/>
        <w:jc w:val="both"/>
        <w:rPr>
          <w:sz w:val="24"/>
          <w:szCs w:val="24"/>
        </w:rPr>
      </w:pPr>
    </w:p>
    <w:p w14:paraId="30C22EAD" w14:textId="77777777" w:rsidR="004127CA" w:rsidRPr="00505C99" w:rsidRDefault="004127CA" w:rsidP="00505C99">
      <w:pPr>
        <w:spacing w:line="360" w:lineRule="auto"/>
        <w:jc w:val="both"/>
        <w:rPr>
          <w:sz w:val="24"/>
          <w:szCs w:val="24"/>
        </w:rPr>
      </w:pPr>
      <w:r w:rsidRPr="00505C99">
        <w:rPr>
          <w:sz w:val="24"/>
          <w:szCs w:val="24"/>
        </w:rPr>
        <w:t>The CJEU has given some helpful guidance on how to apply this test:</w:t>
      </w:r>
    </w:p>
    <w:p w14:paraId="24857725" w14:textId="77777777" w:rsidR="004127CA" w:rsidRPr="00505C99" w:rsidRDefault="004127CA" w:rsidP="00505C99">
      <w:pPr>
        <w:spacing w:line="360" w:lineRule="auto"/>
        <w:jc w:val="both"/>
        <w:rPr>
          <w:sz w:val="24"/>
          <w:szCs w:val="24"/>
        </w:rPr>
      </w:pPr>
    </w:p>
    <w:p w14:paraId="2F38872E" w14:textId="77777777" w:rsidR="004127CA" w:rsidRPr="00505C99" w:rsidRDefault="004127CA" w:rsidP="00505C99">
      <w:pPr>
        <w:spacing w:line="360" w:lineRule="auto"/>
        <w:ind w:left="720"/>
        <w:jc w:val="both"/>
        <w:rPr>
          <w:sz w:val="24"/>
          <w:szCs w:val="24"/>
        </w:rPr>
      </w:pPr>
      <w:r w:rsidRPr="00505C99">
        <w:rPr>
          <w:sz w:val="24"/>
          <w:szCs w:val="24"/>
          <w:lang w:val="en-US"/>
        </w:rPr>
        <w:t>To that end, the court having jurisdiction must determine whether the transfer of the case to that other court is such as to provide genuine and specific added value, with respect to the decision to be taken in relation to the child, as compared with the possibility of the case remaining before that court. In that context, the court having jurisdiction may take into account, among other factors, the rules of procedure in the other Member State, such as those applicable to the taking of evidence required for dealing with the case. However, the court having jurisdiction should not take into consideration, within such an assessment, the substantive law of that other Member State which might be applicable by the court of that other Member State, if the case were transferred to it.</w:t>
      </w:r>
      <w:r w:rsidRPr="00505C99">
        <w:rPr>
          <w:sz w:val="24"/>
          <w:szCs w:val="24"/>
          <w:vertAlign w:val="superscript"/>
          <w:lang w:val="en-US"/>
        </w:rPr>
        <w:footnoteReference w:id="41"/>
      </w:r>
      <w:r w:rsidRPr="00505C99">
        <w:rPr>
          <w:sz w:val="24"/>
          <w:szCs w:val="24"/>
        </w:rPr>
        <w:t xml:space="preserve"> </w:t>
      </w:r>
    </w:p>
    <w:p w14:paraId="26A6C727" w14:textId="77777777" w:rsidR="004127CA" w:rsidRPr="00505C99" w:rsidRDefault="004127CA" w:rsidP="00505C99">
      <w:pPr>
        <w:spacing w:line="360" w:lineRule="auto"/>
        <w:jc w:val="both"/>
        <w:rPr>
          <w:sz w:val="24"/>
          <w:szCs w:val="24"/>
        </w:rPr>
      </w:pPr>
    </w:p>
    <w:p w14:paraId="6732FC08" w14:textId="77777777" w:rsidR="004127CA" w:rsidRPr="00505C99" w:rsidRDefault="004127CA" w:rsidP="00505C99">
      <w:pPr>
        <w:spacing w:line="360" w:lineRule="auto"/>
        <w:jc w:val="both"/>
        <w:rPr>
          <w:sz w:val="24"/>
          <w:szCs w:val="24"/>
        </w:rPr>
      </w:pPr>
      <w:r w:rsidRPr="00505C99">
        <w:rPr>
          <w:sz w:val="24"/>
          <w:szCs w:val="24"/>
        </w:rPr>
        <w:t xml:space="preserve">A weakness of the drafting of Article 15 of Brussels </w:t>
      </w:r>
      <w:proofErr w:type="spellStart"/>
      <w:r w:rsidRPr="00505C99">
        <w:rPr>
          <w:sz w:val="24"/>
          <w:szCs w:val="24"/>
        </w:rPr>
        <w:t>IIa</w:t>
      </w:r>
      <w:proofErr w:type="spellEnd"/>
      <w:r w:rsidRPr="00505C99">
        <w:rPr>
          <w:sz w:val="24"/>
          <w:szCs w:val="24"/>
        </w:rPr>
        <w:t xml:space="preserve"> is that </w:t>
      </w:r>
      <w:r w:rsidR="00C61CE7" w:rsidRPr="00505C99">
        <w:rPr>
          <w:sz w:val="24"/>
          <w:szCs w:val="24"/>
        </w:rPr>
        <w:t>it</w:t>
      </w:r>
      <w:r w:rsidRPr="00505C99">
        <w:rPr>
          <w:sz w:val="24"/>
          <w:szCs w:val="24"/>
        </w:rPr>
        <w:t xml:space="preserve"> fails to make it clear what criteria are to be applied by the non-competent court when it requests the competent court to transfer the case to it.</w:t>
      </w:r>
    </w:p>
    <w:p w14:paraId="29FBA915" w14:textId="77777777" w:rsidR="004127CA" w:rsidRPr="00505C99" w:rsidRDefault="004127CA" w:rsidP="00505C99">
      <w:pPr>
        <w:spacing w:line="360" w:lineRule="auto"/>
        <w:jc w:val="both"/>
        <w:rPr>
          <w:sz w:val="24"/>
          <w:szCs w:val="24"/>
        </w:rPr>
      </w:pPr>
    </w:p>
    <w:p w14:paraId="36924CDE" w14:textId="551F8325" w:rsidR="004127CA" w:rsidRPr="00505C99" w:rsidRDefault="004127CA" w:rsidP="00505C99">
      <w:pPr>
        <w:spacing w:line="360" w:lineRule="auto"/>
        <w:jc w:val="both"/>
        <w:rPr>
          <w:sz w:val="24"/>
          <w:szCs w:val="24"/>
        </w:rPr>
      </w:pPr>
      <w:r w:rsidRPr="00505C99">
        <w:rPr>
          <w:sz w:val="24"/>
          <w:szCs w:val="24"/>
          <w:lang w:val="en-IE"/>
        </w:rPr>
        <w:t xml:space="preserve">Under Hague 1996 the court considering offering a transfer or considering making a transfer request has to compare which of the possible courts to hear the case is best placed to hear it from the perspective of </w:t>
      </w:r>
      <w:r w:rsidRPr="00505C99">
        <w:rPr>
          <w:i/>
          <w:sz w:val="24"/>
          <w:szCs w:val="24"/>
          <w:lang w:val="en-IE"/>
        </w:rPr>
        <w:t>determining</w:t>
      </w:r>
      <w:r w:rsidRPr="00505C99">
        <w:rPr>
          <w:sz w:val="24"/>
          <w:szCs w:val="24"/>
          <w:lang w:val="en-IE"/>
        </w:rPr>
        <w:t xml:space="preserve"> the child’s best interests. Therefore, no consideration should be given to substantive law (as the CJEU rightly stated in relation to Article 15 Brussels </w:t>
      </w:r>
      <w:proofErr w:type="spellStart"/>
      <w:r w:rsidRPr="00505C99">
        <w:rPr>
          <w:sz w:val="24"/>
          <w:szCs w:val="24"/>
          <w:lang w:val="en-IE"/>
        </w:rPr>
        <w:t>IIa</w:t>
      </w:r>
      <w:proofErr w:type="spellEnd"/>
      <w:r w:rsidRPr="00505C99">
        <w:rPr>
          <w:sz w:val="24"/>
          <w:szCs w:val="24"/>
          <w:lang w:val="en-IE"/>
        </w:rPr>
        <w:t xml:space="preserve">) but the examination of the relative merits of the two courts should focus on the ease with which those courts can determine the best interests of the child. Thus the most important factors seem to be the location of the child, the people contesting parental responsibility and any witnesses from whom oral testimony would be desirable.  Other relevant factors may </w:t>
      </w:r>
      <w:r w:rsidR="004519C4" w:rsidRPr="00505C99">
        <w:rPr>
          <w:sz w:val="24"/>
          <w:szCs w:val="24"/>
          <w:lang w:val="en-IE"/>
        </w:rPr>
        <w:t>include the likely length of time of the respective proceedings,</w:t>
      </w:r>
      <w:r w:rsidRPr="00505C99">
        <w:rPr>
          <w:sz w:val="24"/>
          <w:szCs w:val="24"/>
          <w:lang w:val="en-IE"/>
        </w:rPr>
        <w:t xml:space="preserve"> whether the parties (and possibly the child depending on the circumstances) can be legally represented and, where appropriate, the availability and cost-effectiveness of experts (</w:t>
      </w:r>
      <w:proofErr w:type="spellStart"/>
      <w:r w:rsidRPr="00505C99">
        <w:rPr>
          <w:sz w:val="24"/>
          <w:szCs w:val="24"/>
          <w:lang w:val="en-IE"/>
        </w:rPr>
        <w:t>eg</w:t>
      </w:r>
      <w:proofErr w:type="spellEnd"/>
      <w:r w:rsidRPr="00505C99">
        <w:rPr>
          <w:sz w:val="24"/>
          <w:szCs w:val="24"/>
          <w:lang w:val="en-IE"/>
        </w:rPr>
        <w:t xml:space="preserve"> child psychologists and social workers) to assist in the determination of the child’s best interests.</w:t>
      </w:r>
    </w:p>
    <w:p w14:paraId="259BAA01" w14:textId="77777777" w:rsidR="004127CA" w:rsidRPr="00505C99" w:rsidRDefault="004127CA" w:rsidP="00505C99">
      <w:pPr>
        <w:spacing w:line="360" w:lineRule="auto"/>
        <w:jc w:val="both"/>
        <w:rPr>
          <w:sz w:val="24"/>
          <w:szCs w:val="24"/>
        </w:rPr>
      </w:pPr>
    </w:p>
    <w:p w14:paraId="5FD5BB88" w14:textId="77777777" w:rsidR="004127CA" w:rsidRPr="00505C99" w:rsidRDefault="004127CA" w:rsidP="00505C99">
      <w:pPr>
        <w:spacing w:line="360" w:lineRule="auto"/>
        <w:jc w:val="both"/>
        <w:rPr>
          <w:sz w:val="24"/>
          <w:szCs w:val="24"/>
        </w:rPr>
      </w:pPr>
      <w:r w:rsidRPr="00505C99">
        <w:rPr>
          <w:sz w:val="24"/>
          <w:szCs w:val="24"/>
        </w:rPr>
        <w:t xml:space="preserve">4) </w:t>
      </w:r>
      <w:r w:rsidRPr="00505C99">
        <w:rPr>
          <w:i/>
          <w:sz w:val="24"/>
          <w:szCs w:val="24"/>
        </w:rPr>
        <w:t>Time limits</w:t>
      </w:r>
      <w:r w:rsidRPr="00505C99">
        <w:rPr>
          <w:sz w:val="24"/>
          <w:szCs w:val="24"/>
        </w:rPr>
        <w:t xml:space="preserve"> – Article 15 of Brussels </w:t>
      </w:r>
      <w:proofErr w:type="spellStart"/>
      <w:r w:rsidRPr="00505C99">
        <w:rPr>
          <w:sz w:val="24"/>
          <w:szCs w:val="24"/>
        </w:rPr>
        <w:t>IIa</w:t>
      </w:r>
      <w:proofErr w:type="spellEnd"/>
      <w:r w:rsidRPr="00505C99">
        <w:rPr>
          <w:sz w:val="24"/>
          <w:szCs w:val="24"/>
        </w:rPr>
        <w:t xml:space="preserve"> creates some time limits not found in Hague 1996 under which the transfer process must be conducted. The competent court must state a time limit by which the parties must </w:t>
      </w:r>
      <w:proofErr w:type="spellStart"/>
      <w:r w:rsidRPr="00505C99">
        <w:rPr>
          <w:sz w:val="24"/>
          <w:szCs w:val="24"/>
        </w:rPr>
        <w:t>seise</w:t>
      </w:r>
      <w:proofErr w:type="spellEnd"/>
      <w:r w:rsidRPr="00505C99">
        <w:rPr>
          <w:sz w:val="24"/>
          <w:szCs w:val="24"/>
        </w:rPr>
        <w:t xml:space="preserve"> the transferee court and from the date of being </w:t>
      </w:r>
      <w:proofErr w:type="spellStart"/>
      <w:r w:rsidRPr="00505C99">
        <w:rPr>
          <w:sz w:val="24"/>
          <w:szCs w:val="24"/>
        </w:rPr>
        <w:t>seised</w:t>
      </w:r>
      <w:proofErr w:type="spellEnd"/>
      <w:r w:rsidRPr="00505C99">
        <w:rPr>
          <w:sz w:val="24"/>
          <w:szCs w:val="24"/>
        </w:rPr>
        <w:t xml:space="preserve"> the transferee court must accept jurisdiction within 6 weeks otherwise the competent court will resume jurisdiction.</w:t>
      </w:r>
      <w:r w:rsidRPr="00505C99">
        <w:rPr>
          <w:sz w:val="24"/>
          <w:szCs w:val="24"/>
          <w:vertAlign w:val="superscript"/>
        </w:rPr>
        <w:footnoteReference w:id="42"/>
      </w:r>
      <w:r w:rsidR="00735748" w:rsidRPr="00505C99">
        <w:rPr>
          <w:sz w:val="24"/>
          <w:szCs w:val="24"/>
        </w:rPr>
        <w:t xml:space="preserve">  Research is needed to see how helpful these time limits are in practice.</w:t>
      </w:r>
    </w:p>
    <w:p w14:paraId="25884213" w14:textId="77777777" w:rsidR="004127CA" w:rsidRPr="00505C99" w:rsidRDefault="004127CA" w:rsidP="00505C99">
      <w:pPr>
        <w:spacing w:line="360" w:lineRule="auto"/>
        <w:jc w:val="both"/>
        <w:rPr>
          <w:sz w:val="24"/>
          <w:szCs w:val="24"/>
        </w:rPr>
      </w:pPr>
    </w:p>
    <w:p w14:paraId="775B9B6E" w14:textId="26F00CE9" w:rsidR="004127CA" w:rsidRPr="00505C99" w:rsidRDefault="004127CA" w:rsidP="00505C99">
      <w:pPr>
        <w:spacing w:line="360" w:lineRule="auto"/>
        <w:jc w:val="both"/>
        <w:rPr>
          <w:sz w:val="24"/>
          <w:szCs w:val="24"/>
        </w:rPr>
      </w:pPr>
      <w:r w:rsidRPr="00505C99">
        <w:rPr>
          <w:sz w:val="24"/>
          <w:szCs w:val="24"/>
        </w:rPr>
        <w:t xml:space="preserve">5) </w:t>
      </w:r>
      <w:r w:rsidRPr="00505C99">
        <w:rPr>
          <w:i/>
          <w:sz w:val="24"/>
          <w:szCs w:val="24"/>
        </w:rPr>
        <w:t>The courts which can be asked to transfer the case</w:t>
      </w:r>
      <w:r w:rsidRPr="00505C99">
        <w:rPr>
          <w:sz w:val="24"/>
          <w:szCs w:val="24"/>
        </w:rPr>
        <w:t xml:space="preserve"> – </w:t>
      </w:r>
      <w:r w:rsidR="00D22332" w:rsidRPr="00505C99">
        <w:rPr>
          <w:sz w:val="24"/>
          <w:szCs w:val="24"/>
        </w:rPr>
        <w:t>U</w:t>
      </w:r>
      <w:r w:rsidRPr="00505C99">
        <w:rPr>
          <w:sz w:val="24"/>
          <w:szCs w:val="24"/>
        </w:rPr>
        <w:t xml:space="preserve">nder Article 15 of Brussels </w:t>
      </w:r>
      <w:proofErr w:type="spellStart"/>
      <w:r w:rsidRPr="00505C99">
        <w:rPr>
          <w:sz w:val="24"/>
          <w:szCs w:val="24"/>
        </w:rPr>
        <w:t>IIa</w:t>
      </w:r>
      <w:proofErr w:type="spellEnd"/>
      <w:r w:rsidRPr="00505C99">
        <w:rPr>
          <w:sz w:val="24"/>
          <w:szCs w:val="24"/>
        </w:rPr>
        <w:t xml:space="preserve"> any competent court can be asked to transfer the case whereas under Hague 1996 only the courts of the habitual residence of the child can be asked to transfer the case.</w:t>
      </w:r>
      <w:r w:rsidRPr="00505C99">
        <w:rPr>
          <w:sz w:val="24"/>
          <w:szCs w:val="24"/>
          <w:vertAlign w:val="superscript"/>
        </w:rPr>
        <w:footnoteReference w:id="43"/>
      </w:r>
    </w:p>
    <w:p w14:paraId="1066C493" w14:textId="77777777" w:rsidR="004127CA" w:rsidRPr="00505C99" w:rsidRDefault="004127CA" w:rsidP="00505C99">
      <w:pPr>
        <w:spacing w:line="360" w:lineRule="auto"/>
        <w:jc w:val="both"/>
        <w:rPr>
          <w:sz w:val="24"/>
          <w:szCs w:val="24"/>
        </w:rPr>
      </w:pPr>
    </w:p>
    <w:p w14:paraId="518FE762" w14:textId="70E3B5A8" w:rsidR="004127CA" w:rsidRPr="00505C99" w:rsidRDefault="004127CA" w:rsidP="00505C99">
      <w:pPr>
        <w:spacing w:line="360" w:lineRule="auto"/>
        <w:jc w:val="both"/>
        <w:rPr>
          <w:sz w:val="24"/>
          <w:szCs w:val="24"/>
        </w:rPr>
      </w:pPr>
      <w:r w:rsidRPr="00505C99">
        <w:rPr>
          <w:sz w:val="24"/>
          <w:szCs w:val="24"/>
        </w:rPr>
        <w:t xml:space="preserve">6) </w:t>
      </w:r>
      <w:r w:rsidRPr="00505C99">
        <w:rPr>
          <w:i/>
          <w:sz w:val="24"/>
          <w:szCs w:val="24"/>
        </w:rPr>
        <w:t>Whether the approval of one of the parties is needed for a transfer</w:t>
      </w:r>
      <w:r w:rsidRPr="00505C99">
        <w:rPr>
          <w:sz w:val="24"/>
          <w:szCs w:val="24"/>
        </w:rPr>
        <w:t xml:space="preserve"> - </w:t>
      </w:r>
      <w:r w:rsidR="00D22332" w:rsidRPr="00505C99">
        <w:rPr>
          <w:sz w:val="24"/>
          <w:szCs w:val="24"/>
        </w:rPr>
        <w:t>U</w:t>
      </w:r>
      <w:r w:rsidRPr="00505C99">
        <w:rPr>
          <w:sz w:val="24"/>
          <w:szCs w:val="24"/>
        </w:rPr>
        <w:t xml:space="preserve">nder Brussels </w:t>
      </w:r>
      <w:proofErr w:type="spellStart"/>
      <w:r w:rsidRPr="00505C99">
        <w:rPr>
          <w:sz w:val="24"/>
          <w:szCs w:val="24"/>
        </w:rPr>
        <w:t>IIa</w:t>
      </w:r>
      <w:proofErr w:type="spellEnd"/>
      <w:r w:rsidRPr="00505C99">
        <w:rPr>
          <w:sz w:val="24"/>
          <w:szCs w:val="24"/>
        </w:rPr>
        <w:t xml:space="preserve"> a transfer can only be ordered with the approval of one of the parties as required by Article 15(2) but no such condition is imposed by </w:t>
      </w:r>
      <w:r w:rsidR="00D22332" w:rsidRPr="00505C99">
        <w:rPr>
          <w:sz w:val="24"/>
          <w:szCs w:val="24"/>
        </w:rPr>
        <w:t>Hague</w:t>
      </w:r>
      <w:r w:rsidRPr="00505C99">
        <w:rPr>
          <w:sz w:val="24"/>
          <w:szCs w:val="24"/>
        </w:rPr>
        <w:t xml:space="preserve"> 1996. </w:t>
      </w:r>
      <w:r w:rsidR="00D22332" w:rsidRPr="00505C99">
        <w:rPr>
          <w:sz w:val="24"/>
          <w:szCs w:val="24"/>
        </w:rPr>
        <w:t>Hague</w:t>
      </w:r>
      <w:r w:rsidRPr="00505C99">
        <w:rPr>
          <w:sz w:val="24"/>
          <w:szCs w:val="24"/>
        </w:rPr>
        <w:t xml:space="preserve"> 1996 seems preferable to Brussels </w:t>
      </w:r>
      <w:proofErr w:type="spellStart"/>
      <w:r w:rsidRPr="00505C99">
        <w:rPr>
          <w:sz w:val="24"/>
          <w:szCs w:val="24"/>
        </w:rPr>
        <w:t>IIa</w:t>
      </w:r>
      <w:proofErr w:type="spellEnd"/>
      <w:r w:rsidRPr="00505C99">
        <w:rPr>
          <w:sz w:val="24"/>
          <w:szCs w:val="24"/>
        </w:rPr>
        <w:t xml:space="preserve"> by allowing a transfer where the child is not a party to the case in the court competent to hear it and neither of the parents agrees to a transfer but that court wants to protect the best interests of the child by transferring the case to a court that is in a better position to assess the child’s best interests. This could occur </w:t>
      </w:r>
      <w:proofErr w:type="spellStart"/>
      <w:r w:rsidR="00D22332" w:rsidRPr="00505C99">
        <w:rPr>
          <w:sz w:val="24"/>
          <w:szCs w:val="24"/>
        </w:rPr>
        <w:t>eg</w:t>
      </w:r>
      <w:proofErr w:type="spellEnd"/>
      <w:r w:rsidR="00D22332" w:rsidRPr="00505C99">
        <w:rPr>
          <w:sz w:val="24"/>
          <w:szCs w:val="24"/>
        </w:rPr>
        <w:t xml:space="preserve"> </w:t>
      </w:r>
      <w:r w:rsidRPr="00505C99">
        <w:rPr>
          <w:sz w:val="24"/>
          <w:szCs w:val="24"/>
        </w:rPr>
        <w:t>where in the non-competent State someone would be appointed to represent the child’s interests or legal representation for the child would be properly funded there and the competent court believes that the parents are not acting in that child’s best interests.</w:t>
      </w:r>
    </w:p>
    <w:p w14:paraId="18AC8C58" w14:textId="77777777" w:rsidR="004127CA" w:rsidRPr="00505C99" w:rsidRDefault="004127CA" w:rsidP="00505C99">
      <w:pPr>
        <w:spacing w:line="360" w:lineRule="auto"/>
        <w:jc w:val="both"/>
        <w:rPr>
          <w:sz w:val="24"/>
          <w:szCs w:val="24"/>
        </w:rPr>
      </w:pPr>
    </w:p>
    <w:p w14:paraId="2E90DB78" w14:textId="12B464F4" w:rsidR="004127CA" w:rsidRPr="00505C99" w:rsidRDefault="004127CA" w:rsidP="00505C99">
      <w:pPr>
        <w:spacing w:line="360" w:lineRule="auto"/>
        <w:jc w:val="both"/>
        <w:rPr>
          <w:sz w:val="24"/>
          <w:szCs w:val="24"/>
          <w:lang w:val="en-IE"/>
        </w:rPr>
      </w:pPr>
      <w:r w:rsidRPr="00505C99">
        <w:rPr>
          <w:sz w:val="24"/>
          <w:szCs w:val="24"/>
        </w:rPr>
        <w:t xml:space="preserve">7) </w:t>
      </w:r>
      <w:r w:rsidRPr="00505C99">
        <w:rPr>
          <w:i/>
          <w:sz w:val="24"/>
          <w:szCs w:val="24"/>
        </w:rPr>
        <w:t>Ease of acknowledgment of building on the heritage of</w:t>
      </w:r>
      <w:r w:rsidRPr="00505C99">
        <w:rPr>
          <w:sz w:val="24"/>
          <w:szCs w:val="24"/>
        </w:rPr>
        <w:t xml:space="preserve"> forum non </w:t>
      </w:r>
      <w:proofErr w:type="spellStart"/>
      <w:r w:rsidRPr="00505C99">
        <w:rPr>
          <w:sz w:val="24"/>
          <w:szCs w:val="24"/>
        </w:rPr>
        <w:t>conveniens</w:t>
      </w:r>
      <w:proofErr w:type="spellEnd"/>
      <w:r w:rsidRPr="00505C99">
        <w:rPr>
          <w:sz w:val="24"/>
          <w:szCs w:val="24"/>
        </w:rPr>
        <w:t xml:space="preserve">/forum </w:t>
      </w:r>
      <w:proofErr w:type="spellStart"/>
      <w:r w:rsidRPr="00505C99">
        <w:rPr>
          <w:sz w:val="24"/>
          <w:szCs w:val="24"/>
        </w:rPr>
        <w:t>conveniens</w:t>
      </w:r>
      <w:proofErr w:type="spellEnd"/>
      <w:r w:rsidRPr="00505C99">
        <w:rPr>
          <w:sz w:val="24"/>
          <w:szCs w:val="24"/>
        </w:rPr>
        <w:t xml:space="preserve"> - </w:t>
      </w:r>
      <w:r w:rsidR="00D22332" w:rsidRPr="00505C99">
        <w:rPr>
          <w:sz w:val="24"/>
          <w:szCs w:val="24"/>
        </w:rPr>
        <w:t>I</w:t>
      </w:r>
      <w:r w:rsidRPr="00505C99">
        <w:rPr>
          <w:sz w:val="24"/>
          <w:szCs w:val="24"/>
          <w:lang w:val="en-IE"/>
        </w:rPr>
        <w:t xml:space="preserve">n the global context it is easier to admit the transfer mechanism in Articles 8 and 9 is a development from the Scottish doctrine of </w:t>
      </w:r>
      <w:r w:rsidRPr="00505C99">
        <w:rPr>
          <w:i/>
          <w:sz w:val="24"/>
          <w:szCs w:val="24"/>
          <w:lang w:val="en-IE"/>
        </w:rPr>
        <w:t xml:space="preserve">forum non </w:t>
      </w:r>
      <w:proofErr w:type="spellStart"/>
      <w:r w:rsidRPr="00505C99">
        <w:rPr>
          <w:i/>
          <w:sz w:val="24"/>
          <w:szCs w:val="24"/>
          <w:lang w:val="en-IE"/>
        </w:rPr>
        <w:t>conveniens</w:t>
      </w:r>
      <w:proofErr w:type="spellEnd"/>
      <w:r w:rsidRPr="00505C99">
        <w:rPr>
          <w:sz w:val="24"/>
          <w:szCs w:val="24"/>
          <w:vertAlign w:val="superscript"/>
          <w:lang w:val="en-IE"/>
        </w:rPr>
        <w:footnoteReference w:id="44"/>
      </w:r>
      <w:r w:rsidRPr="00505C99">
        <w:rPr>
          <w:sz w:val="24"/>
          <w:szCs w:val="24"/>
          <w:lang w:val="en-IE"/>
        </w:rPr>
        <w:t xml:space="preserve"> than it is to say something similar in relation to Article 15 of Brussels </w:t>
      </w:r>
      <w:proofErr w:type="spellStart"/>
      <w:r w:rsidRPr="00505C99">
        <w:rPr>
          <w:sz w:val="24"/>
          <w:szCs w:val="24"/>
          <w:lang w:val="en-IE"/>
        </w:rPr>
        <w:t>IIa</w:t>
      </w:r>
      <w:proofErr w:type="spellEnd"/>
      <w:r w:rsidRPr="00505C99">
        <w:rPr>
          <w:sz w:val="24"/>
          <w:szCs w:val="24"/>
          <w:lang w:val="en-IE"/>
        </w:rPr>
        <w:t xml:space="preserve">.  The reason </w:t>
      </w:r>
      <w:r w:rsidR="00D97C3C">
        <w:rPr>
          <w:sz w:val="24"/>
          <w:szCs w:val="24"/>
          <w:lang w:val="en-IE"/>
        </w:rPr>
        <w:t>for this is</w:t>
      </w:r>
      <w:r w:rsidRPr="00505C99">
        <w:rPr>
          <w:sz w:val="24"/>
          <w:szCs w:val="24"/>
          <w:lang w:val="en-IE"/>
        </w:rPr>
        <w:t xml:space="preserve"> that within the EU very few Member States used forum non </w:t>
      </w:r>
      <w:proofErr w:type="spellStart"/>
      <w:r w:rsidRPr="00505C99">
        <w:rPr>
          <w:sz w:val="24"/>
          <w:szCs w:val="24"/>
          <w:lang w:val="en-IE"/>
        </w:rPr>
        <w:t>conveniens</w:t>
      </w:r>
      <w:proofErr w:type="spellEnd"/>
      <w:r w:rsidRPr="00505C99">
        <w:rPr>
          <w:sz w:val="24"/>
          <w:szCs w:val="24"/>
          <w:lang w:val="en-IE"/>
        </w:rPr>
        <w:t xml:space="preserve">/forum </w:t>
      </w:r>
      <w:proofErr w:type="spellStart"/>
      <w:r w:rsidRPr="00505C99">
        <w:rPr>
          <w:sz w:val="24"/>
          <w:szCs w:val="24"/>
          <w:lang w:val="en-IE"/>
        </w:rPr>
        <w:t>conveniens</w:t>
      </w:r>
      <w:proofErr w:type="spellEnd"/>
      <w:r w:rsidRPr="00505C99">
        <w:rPr>
          <w:sz w:val="24"/>
          <w:szCs w:val="24"/>
          <w:lang w:val="en-IE"/>
        </w:rPr>
        <w:t xml:space="preserve"> before accepting the transfer provision in Brussels </w:t>
      </w:r>
      <w:proofErr w:type="spellStart"/>
      <w:r w:rsidRPr="00505C99">
        <w:rPr>
          <w:sz w:val="24"/>
          <w:szCs w:val="24"/>
          <w:lang w:val="en-IE"/>
        </w:rPr>
        <w:t>IIa</w:t>
      </w:r>
      <w:proofErr w:type="spellEnd"/>
      <w:r w:rsidRPr="00505C99">
        <w:rPr>
          <w:sz w:val="24"/>
          <w:szCs w:val="24"/>
          <w:lang w:val="en-IE"/>
        </w:rPr>
        <w:t xml:space="preserve"> whereas those concepts were part of the law in most, if not all, common law countries in the world by the time Hague 1996 was being negotiated. The brilliant French Professor who wrote the explanatory report on Hague 1996, Paul </w:t>
      </w:r>
      <w:proofErr w:type="spellStart"/>
      <w:r w:rsidRPr="00505C99">
        <w:rPr>
          <w:sz w:val="24"/>
          <w:szCs w:val="24"/>
          <w:lang w:val="en-IE"/>
        </w:rPr>
        <w:t>Lagarde</w:t>
      </w:r>
      <w:proofErr w:type="spellEnd"/>
      <w:r w:rsidRPr="00505C99">
        <w:rPr>
          <w:sz w:val="24"/>
          <w:szCs w:val="24"/>
          <w:lang w:val="en-IE"/>
        </w:rPr>
        <w:t>, said:</w:t>
      </w:r>
    </w:p>
    <w:p w14:paraId="064059B9" w14:textId="77777777" w:rsidR="004127CA" w:rsidRPr="00505C99" w:rsidRDefault="004127CA" w:rsidP="00505C99">
      <w:pPr>
        <w:spacing w:line="360" w:lineRule="auto"/>
        <w:jc w:val="both"/>
        <w:rPr>
          <w:sz w:val="24"/>
          <w:szCs w:val="24"/>
          <w:lang w:val="en-IE"/>
        </w:rPr>
      </w:pPr>
    </w:p>
    <w:p w14:paraId="6DBEBA7D" w14:textId="77777777" w:rsidR="004127CA" w:rsidRPr="00505C99" w:rsidRDefault="004127CA" w:rsidP="00505C99">
      <w:pPr>
        <w:spacing w:line="360" w:lineRule="auto"/>
        <w:ind w:left="720"/>
        <w:jc w:val="both"/>
        <w:rPr>
          <w:sz w:val="24"/>
          <w:szCs w:val="24"/>
        </w:rPr>
      </w:pPr>
      <w:r w:rsidRPr="00505C99">
        <w:rPr>
          <w:sz w:val="24"/>
          <w:szCs w:val="24"/>
        </w:rPr>
        <w:t xml:space="preserve">These Articles introduce into the Convention a reversible mechanism for </w:t>
      </w:r>
      <w:r w:rsidRPr="00505C99">
        <w:rPr>
          <w:i/>
          <w:iCs/>
          <w:sz w:val="24"/>
          <w:szCs w:val="24"/>
        </w:rPr>
        <w:t xml:space="preserve">forum non </w:t>
      </w:r>
      <w:proofErr w:type="spellStart"/>
      <w:r w:rsidRPr="00505C99">
        <w:rPr>
          <w:i/>
          <w:iCs/>
          <w:sz w:val="24"/>
          <w:szCs w:val="24"/>
        </w:rPr>
        <w:t>conveniens</w:t>
      </w:r>
      <w:proofErr w:type="spellEnd"/>
      <w:r w:rsidRPr="00505C99">
        <w:rPr>
          <w:i/>
          <w:iCs/>
          <w:sz w:val="24"/>
          <w:szCs w:val="24"/>
        </w:rPr>
        <w:t xml:space="preserve"> </w:t>
      </w:r>
      <w:r w:rsidRPr="00505C99">
        <w:rPr>
          <w:sz w:val="24"/>
          <w:szCs w:val="24"/>
        </w:rPr>
        <w:t xml:space="preserve">and </w:t>
      </w:r>
      <w:r w:rsidRPr="00505C99">
        <w:rPr>
          <w:i/>
          <w:iCs/>
          <w:sz w:val="24"/>
          <w:szCs w:val="24"/>
        </w:rPr>
        <w:t xml:space="preserve">forum </w:t>
      </w:r>
      <w:proofErr w:type="spellStart"/>
      <w:r w:rsidRPr="00505C99">
        <w:rPr>
          <w:i/>
          <w:iCs/>
          <w:sz w:val="24"/>
          <w:szCs w:val="24"/>
        </w:rPr>
        <w:t>conveniens</w:t>
      </w:r>
      <w:proofErr w:type="spellEnd"/>
      <w:r w:rsidRPr="00505C99">
        <w:rPr>
          <w:sz w:val="24"/>
          <w:szCs w:val="24"/>
        </w:rPr>
        <w:t>, where it appears that the child’s best interest is that his or her protection be ensured by authorities other than those of the State of the habitual residence.</w:t>
      </w:r>
      <w:r w:rsidRPr="00505C99">
        <w:rPr>
          <w:sz w:val="24"/>
          <w:szCs w:val="24"/>
          <w:vertAlign w:val="superscript"/>
        </w:rPr>
        <w:footnoteReference w:id="45"/>
      </w:r>
    </w:p>
    <w:p w14:paraId="490534A9" w14:textId="77777777" w:rsidR="004127CA" w:rsidRPr="00505C99" w:rsidRDefault="004127CA" w:rsidP="00505C99">
      <w:pPr>
        <w:spacing w:line="360" w:lineRule="auto"/>
        <w:jc w:val="both"/>
        <w:rPr>
          <w:sz w:val="24"/>
          <w:szCs w:val="24"/>
        </w:rPr>
      </w:pPr>
    </w:p>
    <w:p w14:paraId="67C21CEC" w14:textId="77777777" w:rsidR="004127CA" w:rsidRPr="00505C99" w:rsidRDefault="004127CA" w:rsidP="00505C99">
      <w:pPr>
        <w:spacing w:line="360" w:lineRule="auto"/>
        <w:jc w:val="both"/>
        <w:rPr>
          <w:sz w:val="24"/>
          <w:szCs w:val="24"/>
        </w:rPr>
      </w:pPr>
      <w:r w:rsidRPr="00505C99">
        <w:rPr>
          <w:sz w:val="24"/>
          <w:szCs w:val="24"/>
        </w:rPr>
        <w:t xml:space="preserve">But perhaps </w:t>
      </w:r>
      <w:proofErr w:type="spellStart"/>
      <w:r w:rsidRPr="00505C99">
        <w:rPr>
          <w:sz w:val="24"/>
          <w:szCs w:val="24"/>
        </w:rPr>
        <w:t>Lagarde</w:t>
      </w:r>
      <w:proofErr w:type="spellEnd"/>
      <w:r w:rsidRPr="00505C99">
        <w:rPr>
          <w:sz w:val="24"/>
          <w:szCs w:val="24"/>
        </w:rPr>
        <w:t xml:space="preserve"> should have said:</w:t>
      </w:r>
    </w:p>
    <w:p w14:paraId="1CDC684C" w14:textId="77777777" w:rsidR="004127CA" w:rsidRPr="00505C99" w:rsidRDefault="004127CA" w:rsidP="00505C99">
      <w:pPr>
        <w:spacing w:line="360" w:lineRule="auto"/>
        <w:jc w:val="both"/>
        <w:rPr>
          <w:sz w:val="24"/>
          <w:szCs w:val="24"/>
        </w:rPr>
      </w:pPr>
    </w:p>
    <w:p w14:paraId="4E99E7ED" w14:textId="77777777" w:rsidR="004127CA" w:rsidRPr="00505C99" w:rsidRDefault="006E5EA8" w:rsidP="00505C99">
      <w:pPr>
        <w:spacing w:line="360" w:lineRule="auto"/>
        <w:ind w:left="720"/>
        <w:jc w:val="both"/>
        <w:rPr>
          <w:sz w:val="24"/>
          <w:szCs w:val="24"/>
        </w:rPr>
      </w:pPr>
      <w:r w:rsidRPr="00505C99">
        <w:rPr>
          <w:sz w:val="24"/>
          <w:szCs w:val="24"/>
        </w:rPr>
        <w:t>T</w:t>
      </w:r>
      <w:r w:rsidR="004127CA" w:rsidRPr="00505C99">
        <w:rPr>
          <w:sz w:val="24"/>
          <w:szCs w:val="24"/>
        </w:rPr>
        <w:t xml:space="preserve">hese Articles introduce into the Convention a reversible mechanism for </w:t>
      </w:r>
      <w:r w:rsidR="004127CA" w:rsidRPr="00505C99">
        <w:rPr>
          <w:i/>
          <w:iCs/>
          <w:sz w:val="24"/>
          <w:szCs w:val="24"/>
        </w:rPr>
        <w:t xml:space="preserve">forum non </w:t>
      </w:r>
      <w:proofErr w:type="spellStart"/>
      <w:r w:rsidR="004127CA" w:rsidRPr="00505C99">
        <w:rPr>
          <w:i/>
          <w:iCs/>
          <w:sz w:val="24"/>
          <w:szCs w:val="24"/>
        </w:rPr>
        <w:t>conveniens</w:t>
      </w:r>
      <w:proofErr w:type="spellEnd"/>
      <w:r w:rsidR="004127CA" w:rsidRPr="00505C99">
        <w:rPr>
          <w:i/>
          <w:iCs/>
          <w:sz w:val="24"/>
          <w:szCs w:val="24"/>
        </w:rPr>
        <w:t xml:space="preserve"> </w:t>
      </w:r>
      <w:r w:rsidR="004127CA" w:rsidRPr="00505C99">
        <w:rPr>
          <w:sz w:val="24"/>
          <w:szCs w:val="24"/>
        </w:rPr>
        <w:t xml:space="preserve">and </w:t>
      </w:r>
      <w:r w:rsidR="004127CA" w:rsidRPr="00505C99">
        <w:rPr>
          <w:i/>
          <w:iCs/>
          <w:sz w:val="24"/>
          <w:szCs w:val="24"/>
        </w:rPr>
        <w:t xml:space="preserve">forum </w:t>
      </w:r>
      <w:proofErr w:type="spellStart"/>
      <w:r w:rsidR="004127CA" w:rsidRPr="00505C99">
        <w:rPr>
          <w:i/>
          <w:iCs/>
          <w:sz w:val="24"/>
          <w:szCs w:val="24"/>
        </w:rPr>
        <w:t>conveniens</w:t>
      </w:r>
      <w:proofErr w:type="spellEnd"/>
      <w:r w:rsidR="004127CA" w:rsidRPr="00505C99">
        <w:rPr>
          <w:sz w:val="24"/>
          <w:szCs w:val="24"/>
        </w:rPr>
        <w:t>, where it appears that authorities other than those of the State of the habitual residence are better placed to determine what measures of protection are needed in the child’s best interests.</w:t>
      </w:r>
    </w:p>
    <w:p w14:paraId="01635168" w14:textId="77777777" w:rsidR="004127CA" w:rsidRPr="00505C99" w:rsidRDefault="004127CA" w:rsidP="00505C99">
      <w:pPr>
        <w:spacing w:line="360" w:lineRule="auto"/>
        <w:jc w:val="both"/>
        <w:rPr>
          <w:sz w:val="24"/>
          <w:szCs w:val="24"/>
        </w:rPr>
      </w:pPr>
    </w:p>
    <w:p w14:paraId="5A36C23F" w14:textId="6BEFD6B9" w:rsidR="004127CA" w:rsidRPr="00505C99" w:rsidRDefault="004127CA" w:rsidP="00505C99">
      <w:pPr>
        <w:spacing w:line="360" w:lineRule="auto"/>
        <w:jc w:val="both"/>
        <w:rPr>
          <w:sz w:val="24"/>
          <w:szCs w:val="24"/>
        </w:rPr>
      </w:pPr>
      <w:r w:rsidRPr="00505C99">
        <w:rPr>
          <w:sz w:val="24"/>
          <w:szCs w:val="24"/>
        </w:rPr>
        <w:t xml:space="preserve">8) </w:t>
      </w:r>
      <w:r w:rsidRPr="00505C99">
        <w:rPr>
          <w:i/>
          <w:sz w:val="24"/>
          <w:szCs w:val="24"/>
        </w:rPr>
        <w:t>Defined or flexible approach to courts that a case can be transferred to</w:t>
      </w:r>
      <w:r w:rsidRPr="00505C99">
        <w:rPr>
          <w:sz w:val="24"/>
          <w:szCs w:val="24"/>
        </w:rPr>
        <w:t xml:space="preserve"> - An example of the flexibility of Hague 1996 compared to Brussels </w:t>
      </w:r>
      <w:proofErr w:type="spellStart"/>
      <w:r w:rsidRPr="00505C99">
        <w:rPr>
          <w:sz w:val="24"/>
          <w:szCs w:val="24"/>
        </w:rPr>
        <w:t>IIa</w:t>
      </w:r>
      <w:proofErr w:type="spellEnd"/>
      <w:r w:rsidRPr="00505C99">
        <w:rPr>
          <w:sz w:val="24"/>
          <w:szCs w:val="24"/>
        </w:rPr>
        <w:t xml:space="preserve"> is that a transfer can be made to or requested by any court of a Contracting State </w:t>
      </w:r>
      <w:r w:rsidR="009F19B6" w:rsidRPr="00505C99">
        <w:rPr>
          <w:sz w:val="24"/>
          <w:szCs w:val="24"/>
        </w:rPr>
        <w:t>‘</w:t>
      </w:r>
      <w:r w:rsidRPr="00505C99">
        <w:rPr>
          <w:sz w:val="24"/>
          <w:szCs w:val="24"/>
        </w:rPr>
        <w:t>with which the child has a substantial connection</w:t>
      </w:r>
      <w:r w:rsidR="009F19B6" w:rsidRPr="00505C99">
        <w:rPr>
          <w:sz w:val="24"/>
          <w:szCs w:val="24"/>
        </w:rPr>
        <w:t>’</w:t>
      </w:r>
      <w:r w:rsidRPr="00505C99">
        <w:rPr>
          <w:sz w:val="24"/>
          <w:szCs w:val="24"/>
        </w:rPr>
        <w:t xml:space="preserve"> (see Article 8(2</w:t>
      </w:r>
      <w:proofErr w:type="gramStart"/>
      <w:r w:rsidRPr="00505C99">
        <w:rPr>
          <w:sz w:val="24"/>
          <w:szCs w:val="24"/>
        </w:rPr>
        <w:t>)(</w:t>
      </w:r>
      <w:proofErr w:type="gramEnd"/>
      <w:r w:rsidRPr="00505C99">
        <w:rPr>
          <w:sz w:val="24"/>
          <w:szCs w:val="24"/>
        </w:rPr>
        <w:t xml:space="preserve">d)) whereas under Article 15(3) of Brussels </w:t>
      </w:r>
      <w:proofErr w:type="spellStart"/>
      <w:r w:rsidRPr="00505C99">
        <w:rPr>
          <w:sz w:val="24"/>
          <w:szCs w:val="24"/>
        </w:rPr>
        <w:t>IIa</w:t>
      </w:r>
      <w:proofErr w:type="spellEnd"/>
      <w:r w:rsidRPr="00505C99">
        <w:rPr>
          <w:sz w:val="24"/>
          <w:szCs w:val="24"/>
        </w:rPr>
        <w:t xml:space="preserve"> there is an exhaustive list of specific connecting factors.</w:t>
      </w:r>
      <w:r w:rsidRPr="00505C99">
        <w:rPr>
          <w:sz w:val="24"/>
          <w:szCs w:val="24"/>
          <w:vertAlign w:val="superscript"/>
        </w:rPr>
        <w:footnoteReference w:id="46"/>
      </w:r>
      <w:r w:rsidRPr="00505C99">
        <w:rPr>
          <w:sz w:val="24"/>
          <w:szCs w:val="24"/>
        </w:rPr>
        <w:t xml:space="preserve"> Once again the doyen of French private international law faithfully explains the origins of this flexibility in a global context as follows:</w:t>
      </w:r>
    </w:p>
    <w:p w14:paraId="01C6BEF6" w14:textId="77777777" w:rsidR="004127CA" w:rsidRPr="00505C99" w:rsidRDefault="004127CA" w:rsidP="00505C99">
      <w:pPr>
        <w:spacing w:line="360" w:lineRule="auto"/>
        <w:jc w:val="both"/>
        <w:rPr>
          <w:sz w:val="24"/>
          <w:szCs w:val="24"/>
        </w:rPr>
      </w:pPr>
    </w:p>
    <w:p w14:paraId="40989AAA" w14:textId="77777777" w:rsidR="004127CA" w:rsidRPr="00505C99" w:rsidRDefault="004127CA" w:rsidP="00505C99">
      <w:pPr>
        <w:spacing w:line="360" w:lineRule="auto"/>
        <w:ind w:left="720"/>
        <w:jc w:val="both"/>
        <w:rPr>
          <w:sz w:val="24"/>
          <w:szCs w:val="24"/>
        </w:rPr>
      </w:pPr>
      <w:r w:rsidRPr="00505C99">
        <w:rPr>
          <w:sz w:val="24"/>
          <w:szCs w:val="24"/>
        </w:rPr>
        <w:t xml:space="preserve">Paragraph 2 mentions, finally, ‘a State with which the child has a substantial connection’. This formulation, the flexibility of which goes very well with the underlying theory of </w:t>
      </w:r>
      <w:r w:rsidRPr="00505C99">
        <w:rPr>
          <w:i/>
          <w:iCs/>
          <w:sz w:val="24"/>
          <w:szCs w:val="24"/>
        </w:rPr>
        <w:t xml:space="preserve">forum non </w:t>
      </w:r>
      <w:proofErr w:type="spellStart"/>
      <w:r w:rsidRPr="00505C99">
        <w:rPr>
          <w:i/>
          <w:iCs/>
          <w:sz w:val="24"/>
          <w:szCs w:val="24"/>
        </w:rPr>
        <w:t>conveniens</w:t>
      </w:r>
      <w:proofErr w:type="spellEnd"/>
      <w:r w:rsidRPr="00505C99">
        <w:rPr>
          <w:i/>
          <w:iCs/>
          <w:sz w:val="24"/>
          <w:szCs w:val="24"/>
        </w:rPr>
        <w:t xml:space="preserve"> </w:t>
      </w:r>
      <w:r w:rsidRPr="00505C99">
        <w:rPr>
          <w:sz w:val="24"/>
          <w:szCs w:val="24"/>
        </w:rPr>
        <w:t>which inspires Article 8, encompasses and exceeds the three preceding cases mentioned, which are only illustrations. It will permit, according to the case and always as a function of the child’s best interests, the possible jurisdiction, for example of the authorities of the State of the former habitual residence of the child, or of the State in which members of the child’s family live who are willing to look after him or her.</w:t>
      </w:r>
      <w:r w:rsidRPr="00505C99">
        <w:rPr>
          <w:sz w:val="24"/>
          <w:szCs w:val="24"/>
          <w:vertAlign w:val="superscript"/>
        </w:rPr>
        <w:footnoteReference w:id="47"/>
      </w:r>
    </w:p>
    <w:p w14:paraId="3972478C" w14:textId="77777777" w:rsidR="004127CA" w:rsidRPr="00505C99" w:rsidRDefault="004127CA" w:rsidP="00505C99">
      <w:pPr>
        <w:spacing w:line="360" w:lineRule="auto"/>
        <w:jc w:val="both"/>
        <w:rPr>
          <w:sz w:val="24"/>
          <w:szCs w:val="24"/>
        </w:rPr>
      </w:pPr>
    </w:p>
    <w:p w14:paraId="702FA3E4" w14:textId="423DCF27" w:rsidR="004127CA" w:rsidRPr="00505C99" w:rsidRDefault="00D22332" w:rsidP="00505C99">
      <w:pPr>
        <w:spacing w:line="360" w:lineRule="auto"/>
        <w:jc w:val="both"/>
        <w:rPr>
          <w:sz w:val="24"/>
          <w:szCs w:val="24"/>
        </w:rPr>
      </w:pPr>
      <w:r w:rsidRPr="00505C99">
        <w:rPr>
          <w:sz w:val="24"/>
          <w:szCs w:val="24"/>
        </w:rPr>
        <w:t xml:space="preserve">9) </w:t>
      </w:r>
      <w:r w:rsidRPr="00505C99">
        <w:rPr>
          <w:i/>
          <w:sz w:val="24"/>
          <w:szCs w:val="24"/>
        </w:rPr>
        <w:t>Conclusion on transfer</w:t>
      </w:r>
      <w:r w:rsidRPr="00505C99">
        <w:rPr>
          <w:sz w:val="24"/>
          <w:szCs w:val="24"/>
        </w:rPr>
        <w:t xml:space="preserve"> - </w:t>
      </w:r>
      <w:r w:rsidR="004127CA" w:rsidRPr="00505C99">
        <w:rPr>
          <w:sz w:val="24"/>
          <w:szCs w:val="24"/>
        </w:rPr>
        <w:t xml:space="preserve">If the </w:t>
      </w:r>
      <w:r w:rsidR="0027519B" w:rsidRPr="00505C99">
        <w:rPr>
          <w:sz w:val="24"/>
          <w:szCs w:val="24"/>
        </w:rPr>
        <w:t xml:space="preserve">UK and the EU are not able to agree on the continued application of Brussels </w:t>
      </w:r>
      <w:proofErr w:type="spellStart"/>
      <w:r w:rsidR="0027519B" w:rsidRPr="00505C99">
        <w:rPr>
          <w:sz w:val="24"/>
          <w:szCs w:val="24"/>
        </w:rPr>
        <w:t>IIa</w:t>
      </w:r>
      <w:proofErr w:type="spellEnd"/>
      <w:r w:rsidR="0027519B" w:rsidRPr="00505C99">
        <w:rPr>
          <w:sz w:val="24"/>
          <w:szCs w:val="24"/>
        </w:rPr>
        <w:t xml:space="preserve"> post-Brexit then the UK may continue to apply it unilaterally as part of the </w:t>
      </w:r>
      <w:r w:rsidR="004127CA" w:rsidRPr="00505C99">
        <w:rPr>
          <w:sz w:val="24"/>
          <w:szCs w:val="24"/>
        </w:rPr>
        <w:t>UK’s Great Repeal Act and its associated legislation</w:t>
      </w:r>
      <w:r w:rsidR="0027519B" w:rsidRPr="00505C99">
        <w:rPr>
          <w:sz w:val="24"/>
          <w:szCs w:val="24"/>
        </w:rPr>
        <w:t xml:space="preserve">. However, at that point the rest of the EU will apply Hague 1996 in relation to the UK and not Brussels </w:t>
      </w:r>
      <w:proofErr w:type="spellStart"/>
      <w:r w:rsidR="0027519B" w:rsidRPr="00505C99">
        <w:rPr>
          <w:sz w:val="24"/>
          <w:szCs w:val="24"/>
        </w:rPr>
        <w:t>IIa</w:t>
      </w:r>
      <w:proofErr w:type="spellEnd"/>
      <w:r w:rsidR="0027519B" w:rsidRPr="00505C99">
        <w:rPr>
          <w:sz w:val="24"/>
          <w:szCs w:val="24"/>
        </w:rPr>
        <w:t xml:space="preserve">.  To avoid the incompatibility of Hague 1996 and Brussels </w:t>
      </w:r>
      <w:proofErr w:type="spellStart"/>
      <w:r w:rsidR="0027519B" w:rsidRPr="00505C99">
        <w:rPr>
          <w:sz w:val="24"/>
          <w:szCs w:val="24"/>
        </w:rPr>
        <w:t>IIa</w:t>
      </w:r>
      <w:proofErr w:type="spellEnd"/>
      <w:r w:rsidR="0027519B" w:rsidRPr="00505C99">
        <w:rPr>
          <w:sz w:val="24"/>
          <w:szCs w:val="24"/>
        </w:rPr>
        <w:t xml:space="preserve"> on transfer it makes sense for the UK also </w:t>
      </w:r>
      <w:r w:rsidR="008550F0">
        <w:rPr>
          <w:sz w:val="24"/>
          <w:szCs w:val="24"/>
        </w:rPr>
        <w:t xml:space="preserve">to </w:t>
      </w:r>
      <w:r w:rsidR="0027519B" w:rsidRPr="00505C99">
        <w:rPr>
          <w:sz w:val="24"/>
          <w:szCs w:val="24"/>
        </w:rPr>
        <w:t>apply Hague 1996 in its dealings with EU States</w:t>
      </w:r>
      <w:r w:rsidR="00B33BC7" w:rsidRPr="00505C99">
        <w:rPr>
          <w:sz w:val="24"/>
          <w:szCs w:val="24"/>
        </w:rPr>
        <w:t>. The UK courts could then</w:t>
      </w:r>
      <w:r w:rsidR="004127CA" w:rsidRPr="00505C99">
        <w:rPr>
          <w:sz w:val="24"/>
          <w:szCs w:val="24"/>
        </w:rPr>
        <w:t xml:space="preserve"> take advantage, where appropriate, of the slightly greater flexibility that Hague 1996 provides </w:t>
      </w:r>
      <w:r w:rsidR="00B33BC7" w:rsidRPr="00505C99">
        <w:rPr>
          <w:sz w:val="24"/>
          <w:szCs w:val="24"/>
        </w:rPr>
        <w:t>to allow</w:t>
      </w:r>
      <w:r w:rsidR="004127CA" w:rsidRPr="00505C99">
        <w:rPr>
          <w:sz w:val="24"/>
          <w:szCs w:val="24"/>
        </w:rPr>
        <w:t xml:space="preserve"> courts </w:t>
      </w:r>
      <w:r w:rsidR="00B33BC7" w:rsidRPr="00505C99">
        <w:rPr>
          <w:sz w:val="24"/>
          <w:szCs w:val="24"/>
        </w:rPr>
        <w:t>to hear</w:t>
      </w:r>
      <w:r w:rsidR="004127CA" w:rsidRPr="00505C99">
        <w:rPr>
          <w:sz w:val="24"/>
          <w:szCs w:val="24"/>
        </w:rPr>
        <w:t xml:space="preserve"> cases based on a </w:t>
      </w:r>
      <w:r w:rsidR="009F19B6" w:rsidRPr="00505C99">
        <w:rPr>
          <w:sz w:val="24"/>
          <w:szCs w:val="24"/>
        </w:rPr>
        <w:t>‘</w:t>
      </w:r>
      <w:r w:rsidR="004127CA" w:rsidRPr="00505C99">
        <w:rPr>
          <w:sz w:val="24"/>
          <w:szCs w:val="24"/>
        </w:rPr>
        <w:t>substantial connection</w:t>
      </w:r>
      <w:r w:rsidR="009F19B6" w:rsidRPr="00505C99">
        <w:rPr>
          <w:sz w:val="24"/>
          <w:szCs w:val="24"/>
        </w:rPr>
        <w:t>’</w:t>
      </w:r>
      <w:r w:rsidR="004127CA" w:rsidRPr="00505C99">
        <w:rPr>
          <w:sz w:val="24"/>
          <w:szCs w:val="24"/>
        </w:rPr>
        <w:t xml:space="preserve"> with the child.</w:t>
      </w:r>
    </w:p>
    <w:p w14:paraId="6EAF6074" w14:textId="77777777" w:rsidR="004127CA" w:rsidRPr="00505C99" w:rsidRDefault="004127CA" w:rsidP="00505C99">
      <w:pPr>
        <w:spacing w:line="360" w:lineRule="auto"/>
        <w:jc w:val="both"/>
        <w:rPr>
          <w:sz w:val="24"/>
          <w:szCs w:val="24"/>
        </w:rPr>
      </w:pPr>
    </w:p>
    <w:p w14:paraId="59144171" w14:textId="77777777" w:rsidR="004127CA" w:rsidRPr="00505C99" w:rsidRDefault="004127CA" w:rsidP="00505C99">
      <w:pPr>
        <w:spacing w:line="360" w:lineRule="auto"/>
        <w:jc w:val="both"/>
        <w:rPr>
          <w:sz w:val="24"/>
          <w:szCs w:val="24"/>
        </w:rPr>
      </w:pPr>
      <w:r w:rsidRPr="00505C99">
        <w:rPr>
          <w:sz w:val="24"/>
          <w:szCs w:val="24"/>
        </w:rPr>
        <w:t>b) Prorogation (choice of court)</w:t>
      </w:r>
    </w:p>
    <w:p w14:paraId="791F7D44" w14:textId="77777777" w:rsidR="00C3013F" w:rsidRPr="00505C99" w:rsidRDefault="00C3013F" w:rsidP="00505C99">
      <w:pPr>
        <w:spacing w:line="360" w:lineRule="auto"/>
        <w:jc w:val="both"/>
        <w:rPr>
          <w:sz w:val="24"/>
          <w:szCs w:val="24"/>
        </w:rPr>
      </w:pPr>
    </w:p>
    <w:p w14:paraId="48158526" w14:textId="10312936" w:rsidR="00C84E5D" w:rsidRPr="00505C99" w:rsidRDefault="00C3013F" w:rsidP="00505C99">
      <w:pPr>
        <w:spacing w:line="360" w:lineRule="auto"/>
        <w:jc w:val="both"/>
        <w:rPr>
          <w:sz w:val="24"/>
          <w:szCs w:val="24"/>
        </w:rPr>
      </w:pPr>
      <w:r w:rsidRPr="00505C99">
        <w:rPr>
          <w:sz w:val="24"/>
          <w:szCs w:val="24"/>
        </w:rPr>
        <w:t xml:space="preserve">One area where Brussels </w:t>
      </w:r>
      <w:proofErr w:type="spellStart"/>
      <w:r w:rsidRPr="00505C99">
        <w:rPr>
          <w:sz w:val="24"/>
          <w:szCs w:val="24"/>
        </w:rPr>
        <w:t>IIa</w:t>
      </w:r>
      <w:proofErr w:type="spellEnd"/>
      <w:r w:rsidRPr="00505C99">
        <w:rPr>
          <w:sz w:val="24"/>
          <w:szCs w:val="24"/>
        </w:rPr>
        <w:t xml:space="preserve"> is clearly better than Hague 1996 is prorogation.</w:t>
      </w:r>
      <w:r w:rsidR="00C34E74" w:rsidRPr="00505C99">
        <w:rPr>
          <w:sz w:val="24"/>
          <w:szCs w:val="24"/>
        </w:rPr>
        <w:t xml:space="preserve"> </w:t>
      </w:r>
      <w:r w:rsidR="00C84E5D" w:rsidRPr="00505C99">
        <w:rPr>
          <w:sz w:val="24"/>
          <w:szCs w:val="24"/>
        </w:rPr>
        <w:t xml:space="preserve">Article 12 of Brussels </w:t>
      </w:r>
      <w:proofErr w:type="spellStart"/>
      <w:r w:rsidR="00C84E5D" w:rsidRPr="00505C99">
        <w:rPr>
          <w:sz w:val="24"/>
          <w:szCs w:val="24"/>
        </w:rPr>
        <w:t>IIa</w:t>
      </w:r>
      <w:proofErr w:type="spellEnd"/>
      <w:r w:rsidR="00C84E5D" w:rsidRPr="00505C99">
        <w:rPr>
          <w:sz w:val="24"/>
          <w:szCs w:val="24"/>
        </w:rPr>
        <w:t xml:space="preserve"> </w:t>
      </w:r>
      <w:r w:rsidR="00C34E74" w:rsidRPr="00505C99">
        <w:rPr>
          <w:sz w:val="24"/>
          <w:szCs w:val="24"/>
        </w:rPr>
        <w:t>permits a wider set of options for choice of court</w:t>
      </w:r>
      <w:r w:rsidR="00C84E5D" w:rsidRPr="00505C99">
        <w:rPr>
          <w:sz w:val="24"/>
          <w:szCs w:val="24"/>
        </w:rPr>
        <w:t xml:space="preserve"> than Art</w:t>
      </w:r>
      <w:r w:rsidR="002F7329" w:rsidRPr="00505C99">
        <w:rPr>
          <w:sz w:val="24"/>
          <w:szCs w:val="24"/>
        </w:rPr>
        <w:t>icle</w:t>
      </w:r>
      <w:r w:rsidR="00C84E5D" w:rsidRPr="00505C99">
        <w:rPr>
          <w:sz w:val="24"/>
          <w:szCs w:val="24"/>
        </w:rPr>
        <w:t xml:space="preserve"> 10 of Hague 1996.</w:t>
      </w:r>
      <w:r w:rsidR="00C34E74" w:rsidRPr="00505C99">
        <w:rPr>
          <w:sz w:val="24"/>
          <w:szCs w:val="24"/>
        </w:rPr>
        <w:t xml:space="preserve"> The former permits prorogation of the divorce court in relation to parental responsibility matters even when neither party is habitually resident there. Furthermore</w:t>
      </w:r>
      <w:r w:rsidR="002F7329" w:rsidRPr="00505C99">
        <w:rPr>
          <w:sz w:val="24"/>
          <w:szCs w:val="24"/>
        </w:rPr>
        <w:t>,</w:t>
      </w:r>
      <w:r w:rsidR="00C34E74" w:rsidRPr="00505C99">
        <w:rPr>
          <w:sz w:val="24"/>
          <w:szCs w:val="24"/>
        </w:rPr>
        <w:t xml:space="preserve"> the former permits the parties to choose the courts of a country that is not hearing their divorce to deal with a parental responsibility measure where </w:t>
      </w:r>
      <w:r w:rsidR="009F19B6" w:rsidRPr="00505C99">
        <w:rPr>
          <w:sz w:val="24"/>
          <w:szCs w:val="24"/>
        </w:rPr>
        <w:t>‘</w:t>
      </w:r>
      <w:r w:rsidR="00C34E74" w:rsidRPr="00505C99">
        <w:rPr>
          <w:sz w:val="24"/>
          <w:szCs w:val="24"/>
        </w:rPr>
        <w:t>the child has a substantial connection with that Member State</w:t>
      </w:r>
      <w:r w:rsidR="009F19B6" w:rsidRPr="00505C99">
        <w:rPr>
          <w:sz w:val="24"/>
          <w:szCs w:val="24"/>
        </w:rPr>
        <w:t>’</w:t>
      </w:r>
      <w:r w:rsidR="00C34E74" w:rsidRPr="00505C99">
        <w:rPr>
          <w:sz w:val="24"/>
          <w:szCs w:val="24"/>
        </w:rPr>
        <w:t xml:space="preserve"> and certain other conditions are met. </w:t>
      </w:r>
      <w:r w:rsidR="00C84E5D" w:rsidRPr="00505C99">
        <w:rPr>
          <w:sz w:val="24"/>
          <w:szCs w:val="24"/>
        </w:rPr>
        <w:t xml:space="preserve"> </w:t>
      </w:r>
    </w:p>
    <w:p w14:paraId="7CA1EEEC" w14:textId="77777777" w:rsidR="00B00B28" w:rsidRPr="00505C99" w:rsidRDefault="00B00B28" w:rsidP="00505C99">
      <w:pPr>
        <w:spacing w:line="360" w:lineRule="auto"/>
        <w:jc w:val="both"/>
        <w:rPr>
          <w:sz w:val="24"/>
          <w:szCs w:val="24"/>
        </w:rPr>
      </w:pPr>
    </w:p>
    <w:p w14:paraId="6B57D80E" w14:textId="240FD166" w:rsidR="00641AA4" w:rsidRPr="00505C99" w:rsidRDefault="00C3013F" w:rsidP="00505C99">
      <w:pPr>
        <w:spacing w:line="360" w:lineRule="auto"/>
        <w:jc w:val="both"/>
        <w:rPr>
          <w:sz w:val="24"/>
          <w:szCs w:val="24"/>
        </w:rPr>
      </w:pPr>
      <w:r w:rsidRPr="00505C99">
        <w:rPr>
          <w:sz w:val="24"/>
          <w:szCs w:val="24"/>
        </w:rPr>
        <w:t xml:space="preserve">A quick </w:t>
      </w:r>
      <w:r w:rsidR="00641AA4" w:rsidRPr="00505C99">
        <w:rPr>
          <w:sz w:val="24"/>
          <w:szCs w:val="24"/>
        </w:rPr>
        <w:t xml:space="preserve">legislative </w:t>
      </w:r>
      <w:r w:rsidRPr="00505C99">
        <w:rPr>
          <w:sz w:val="24"/>
          <w:szCs w:val="24"/>
        </w:rPr>
        <w:t xml:space="preserve">fix for this is not easy.  </w:t>
      </w:r>
      <w:r w:rsidR="00641AA4" w:rsidRPr="00505C99">
        <w:rPr>
          <w:sz w:val="24"/>
          <w:szCs w:val="24"/>
        </w:rPr>
        <w:t xml:space="preserve">However, in practice many of the problems can be overcome by using the transfer system in Articles 8 and 9 of Hague 1996. Given that both parties want their chosen court to hear the case they can either go to that court and ask it to request a transfer of the case to it (using Article 9) from the court having jurisdiction under Hague 1996 or they can go to the court having jurisdiction under Hague 1996 and request it (using Article 8) to transfer the case to their chosen court.  As long as their chosen court has a </w:t>
      </w:r>
      <w:r w:rsidR="009F19B6" w:rsidRPr="00505C99">
        <w:rPr>
          <w:sz w:val="24"/>
          <w:szCs w:val="24"/>
        </w:rPr>
        <w:t>‘</w:t>
      </w:r>
      <w:r w:rsidR="00641AA4" w:rsidRPr="00505C99">
        <w:rPr>
          <w:sz w:val="24"/>
          <w:szCs w:val="24"/>
        </w:rPr>
        <w:t>substantial connection</w:t>
      </w:r>
      <w:r w:rsidR="009F19B6" w:rsidRPr="00505C99">
        <w:rPr>
          <w:sz w:val="24"/>
          <w:szCs w:val="24"/>
        </w:rPr>
        <w:t>’</w:t>
      </w:r>
      <w:r w:rsidR="00641AA4" w:rsidRPr="00505C99">
        <w:rPr>
          <w:sz w:val="24"/>
          <w:szCs w:val="24"/>
        </w:rPr>
        <w:t xml:space="preserve"> with the child then this will be possible and one imagines that most judges will grant a non-contested transfer request.</w:t>
      </w:r>
      <w:r w:rsidR="00641AA4" w:rsidRPr="00505C99">
        <w:rPr>
          <w:rStyle w:val="FootnoteReference"/>
          <w:sz w:val="24"/>
          <w:szCs w:val="24"/>
        </w:rPr>
        <w:footnoteReference w:id="48"/>
      </w:r>
    </w:p>
    <w:p w14:paraId="240888E6" w14:textId="77777777" w:rsidR="00641AA4" w:rsidRPr="00505C99" w:rsidRDefault="00641AA4" w:rsidP="00505C99">
      <w:pPr>
        <w:spacing w:line="360" w:lineRule="auto"/>
        <w:jc w:val="both"/>
        <w:rPr>
          <w:sz w:val="24"/>
          <w:szCs w:val="24"/>
        </w:rPr>
      </w:pPr>
    </w:p>
    <w:p w14:paraId="7678A41C" w14:textId="3BB12D61" w:rsidR="00C3013F" w:rsidRPr="00505C99" w:rsidRDefault="00641AA4" w:rsidP="00505C99">
      <w:pPr>
        <w:spacing w:line="360" w:lineRule="auto"/>
        <w:jc w:val="both"/>
        <w:rPr>
          <w:sz w:val="24"/>
          <w:szCs w:val="24"/>
        </w:rPr>
      </w:pPr>
      <w:r w:rsidRPr="00505C99">
        <w:rPr>
          <w:sz w:val="24"/>
          <w:szCs w:val="24"/>
        </w:rPr>
        <w:t xml:space="preserve">For a legislative fix </w:t>
      </w:r>
      <w:r w:rsidR="00C3013F" w:rsidRPr="00505C99">
        <w:rPr>
          <w:sz w:val="24"/>
          <w:szCs w:val="24"/>
        </w:rPr>
        <w:t xml:space="preserve">Article 52 of Hague 1996 does allow for departure from the rules of Hague 1996 by way of an agreement between one or more Contracting States to the Convention or by </w:t>
      </w:r>
      <w:r w:rsidR="009F19B6" w:rsidRPr="00505C99">
        <w:rPr>
          <w:sz w:val="24"/>
          <w:szCs w:val="24"/>
        </w:rPr>
        <w:t>‘</w:t>
      </w:r>
      <w:r w:rsidR="00C3013F" w:rsidRPr="00505C99">
        <w:rPr>
          <w:sz w:val="24"/>
          <w:szCs w:val="24"/>
        </w:rPr>
        <w:t>uniform laws based on special ties of a regional or other nature between the States concerned.</w:t>
      </w:r>
      <w:r w:rsidR="009F19B6" w:rsidRPr="00505C99">
        <w:rPr>
          <w:sz w:val="24"/>
          <w:szCs w:val="24"/>
        </w:rPr>
        <w:t>’</w:t>
      </w:r>
      <w:r w:rsidR="00C3013F" w:rsidRPr="00505C99">
        <w:rPr>
          <w:sz w:val="24"/>
          <w:szCs w:val="24"/>
        </w:rPr>
        <w:t xml:space="preserve">  The former would allow for a part of the Brexit agreement between the UK and the EU to continue the operation of Article 12 of Brussels </w:t>
      </w:r>
      <w:proofErr w:type="spellStart"/>
      <w:r w:rsidR="00C3013F" w:rsidRPr="00505C99">
        <w:rPr>
          <w:sz w:val="24"/>
          <w:szCs w:val="24"/>
        </w:rPr>
        <w:t>IIa</w:t>
      </w:r>
      <w:proofErr w:type="spellEnd"/>
      <w:r w:rsidR="00C3013F" w:rsidRPr="00505C99">
        <w:rPr>
          <w:sz w:val="24"/>
          <w:szCs w:val="24"/>
        </w:rPr>
        <w:t xml:space="preserve"> in relations between the UK and the EU Member States. The uniform law approach might be a useful way of widening the limited possibility of choice of court in parental responsibility cases provided for by Article 10 of Hague 1996</w:t>
      </w:r>
      <w:r w:rsidR="00261576" w:rsidRPr="00505C99">
        <w:rPr>
          <w:sz w:val="24"/>
          <w:szCs w:val="24"/>
        </w:rPr>
        <w:t xml:space="preserve">.  This could have particular appeal in the Commonwealth where inter alia Australia is already a well-established Contracting State to Hague 1996.  Another way forward is to conclude a new Convention at The Hague that will permit parents of a child to agree a jurisdiction to endorse an agreement that they have already reached on some or all of the following: custody, access, maintenance and property issues. It may even be the case that such a Convention – or perhaps a sister Convention to it – could give the parents of a child the power to choose a jurisdiction to resolve some or all of the following issues together: divorce, custody, access, </w:t>
      </w:r>
      <w:proofErr w:type="gramStart"/>
      <w:r w:rsidR="00D848F6" w:rsidRPr="00505C99">
        <w:rPr>
          <w:sz w:val="24"/>
          <w:szCs w:val="24"/>
        </w:rPr>
        <w:t>m</w:t>
      </w:r>
      <w:r w:rsidR="00261576" w:rsidRPr="00505C99">
        <w:rPr>
          <w:sz w:val="24"/>
          <w:szCs w:val="24"/>
        </w:rPr>
        <w:t>aintenance</w:t>
      </w:r>
      <w:proofErr w:type="gramEnd"/>
      <w:r w:rsidR="00261576" w:rsidRPr="00505C99">
        <w:rPr>
          <w:sz w:val="24"/>
          <w:szCs w:val="24"/>
        </w:rPr>
        <w:t xml:space="preserve"> and property issues.  </w:t>
      </w:r>
      <w:r w:rsidR="00D848F6" w:rsidRPr="00505C99">
        <w:rPr>
          <w:sz w:val="24"/>
          <w:szCs w:val="24"/>
        </w:rPr>
        <w:t>Such a</w:t>
      </w:r>
      <w:r w:rsidR="00261576" w:rsidRPr="00505C99">
        <w:rPr>
          <w:sz w:val="24"/>
          <w:szCs w:val="24"/>
        </w:rPr>
        <w:t xml:space="preserve"> Convention </w:t>
      </w:r>
      <w:r w:rsidR="008550F0">
        <w:rPr>
          <w:sz w:val="24"/>
          <w:szCs w:val="24"/>
        </w:rPr>
        <w:t>might</w:t>
      </w:r>
      <w:r w:rsidR="00261576" w:rsidRPr="00505C99">
        <w:rPr>
          <w:sz w:val="24"/>
          <w:szCs w:val="24"/>
        </w:rPr>
        <w:t xml:space="preserve"> well place limits on which jurisdictions the parents can choose but still create more flexibility than is provided at the moment by the combination of Brussels </w:t>
      </w:r>
      <w:proofErr w:type="spellStart"/>
      <w:r w:rsidR="00261576" w:rsidRPr="00505C99">
        <w:rPr>
          <w:sz w:val="24"/>
          <w:szCs w:val="24"/>
        </w:rPr>
        <w:t>IIa</w:t>
      </w:r>
      <w:proofErr w:type="spellEnd"/>
      <w:r w:rsidR="00261576" w:rsidRPr="00505C99">
        <w:rPr>
          <w:sz w:val="24"/>
          <w:szCs w:val="24"/>
        </w:rPr>
        <w:t xml:space="preserve"> and the Maintenance Regulation in the EU and </w:t>
      </w:r>
      <w:r w:rsidR="00D848F6" w:rsidRPr="00505C99">
        <w:rPr>
          <w:sz w:val="24"/>
          <w:szCs w:val="24"/>
        </w:rPr>
        <w:t xml:space="preserve">elsewhere </w:t>
      </w:r>
      <w:r w:rsidR="00261576" w:rsidRPr="00505C99">
        <w:rPr>
          <w:sz w:val="24"/>
          <w:szCs w:val="24"/>
        </w:rPr>
        <w:t>by the combination of Hague 1980, 1996 and 2007.</w:t>
      </w:r>
      <w:r w:rsidR="00261576" w:rsidRPr="00505C99">
        <w:rPr>
          <w:rStyle w:val="FootnoteReference"/>
          <w:sz w:val="24"/>
          <w:szCs w:val="24"/>
        </w:rPr>
        <w:footnoteReference w:id="49"/>
      </w:r>
      <w:r w:rsidR="002B27D8" w:rsidRPr="00505C99">
        <w:rPr>
          <w:sz w:val="24"/>
          <w:szCs w:val="24"/>
        </w:rPr>
        <w:t xml:space="preserve"> An obvious example of a limit on choice of court would be </w:t>
      </w:r>
      <w:r w:rsidR="00F4504D" w:rsidRPr="00505C99">
        <w:rPr>
          <w:sz w:val="24"/>
          <w:szCs w:val="24"/>
        </w:rPr>
        <w:t xml:space="preserve">to disallow the choice of another court </w:t>
      </w:r>
      <w:r w:rsidR="002B27D8" w:rsidRPr="00505C99">
        <w:rPr>
          <w:sz w:val="24"/>
          <w:szCs w:val="24"/>
        </w:rPr>
        <w:t xml:space="preserve">where both parents and the child are </w:t>
      </w:r>
      <w:r w:rsidR="00F4504D" w:rsidRPr="00505C99">
        <w:rPr>
          <w:sz w:val="24"/>
          <w:szCs w:val="24"/>
        </w:rPr>
        <w:t>habitually resident in one country.</w:t>
      </w:r>
    </w:p>
    <w:p w14:paraId="0D3CCE18" w14:textId="77777777" w:rsidR="004127CA" w:rsidRPr="00505C99" w:rsidRDefault="004127CA" w:rsidP="00505C99">
      <w:pPr>
        <w:spacing w:line="360" w:lineRule="auto"/>
        <w:jc w:val="both"/>
        <w:rPr>
          <w:sz w:val="24"/>
          <w:szCs w:val="24"/>
        </w:rPr>
      </w:pPr>
    </w:p>
    <w:p w14:paraId="70BB3560" w14:textId="77777777" w:rsidR="004127CA" w:rsidRPr="00505C99" w:rsidRDefault="004127CA" w:rsidP="00505C99">
      <w:pPr>
        <w:spacing w:line="360" w:lineRule="auto"/>
        <w:jc w:val="both"/>
        <w:rPr>
          <w:sz w:val="24"/>
          <w:szCs w:val="24"/>
        </w:rPr>
      </w:pPr>
      <w:r w:rsidRPr="00505C99">
        <w:rPr>
          <w:sz w:val="24"/>
          <w:szCs w:val="24"/>
        </w:rPr>
        <w:t>c) Recognition and enforcement</w:t>
      </w:r>
    </w:p>
    <w:p w14:paraId="58FB88BA" w14:textId="77777777" w:rsidR="00B0340A" w:rsidRPr="00505C99" w:rsidRDefault="00B0340A" w:rsidP="00505C99">
      <w:pPr>
        <w:spacing w:line="360" w:lineRule="auto"/>
        <w:rPr>
          <w:sz w:val="24"/>
          <w:szCs w:val="24"/>
        </w:rPr>
      </w:pPr>
    </w:p>
    <w:p w14:paraId="44B9344B" w14:textId="09D2D944" w:rsidR="00931D26" w:rsidRPr="00505C99" w:rsidRDefault="0036667A" w:rsidP="00505C99">
      <w:pPr>
        <w:spacing w:line="360" w:lineRule="auto"/>
        <w:jc w:val="both"/>
        <w:rPr>
          <w:sz w:val="24"/>
          <w:szCs w:val="24"/>
        </w:rPr>
      </w:pPr>
      <w:r w:rsidRPr="00505C99">
        <w:rPr>
          <w:sz w:val="24"/>
          <w:szCs w:val="24"/>
        </w:rPr>
        <w:t xml:space="preserve">The rules for recognition and enforcement of parental responsibility measures are very similar under Hague 1996 and Brussels </w:t>
      </w:r>
      <w:proofErr w:type="spellStart"/>
      <w:r w:rsidRPr="00505C99">
        <w:rPr>
          <w:sz w:val="24"/>
          <w:szCs w:val="24"/>
        </w:rPr>
        <w:t>IIa</w:t>
      </w:r>
      <w:proofErr w:type="spellEnd"/>
      <w:r w:rsidRPr="00505C99">
        <w:rPr>
          <w:sz w:val="24"/>
          <w:szCs w:val="24"/>
        </w:rPr>
        <w:t xml:space="preserve">. However, </w:t>
      </w:r>
      <w:r w:rsidR="004703C4" w:rsidRPr="00505C99">
        <w:rPr>
          <w:sz w:val="24"/>
          <w:szCs w:val="24"/>
        </w:rPr>
        <w:t xml:space="preserve">only </w:t>
      </w:r>
      <w:r w:rsidRPr="00505C99">
        <w:rPr>
          <w:sz w:val="24"/>
          <w:szCs w:val="24"/>
        </w:rPr>
        <w:t xml:space="preserve">Hague 1996 allows for a review of the jurisdiction of the </w:t>
      </w:r>
      <w:r w:rsidR="0071127B" w:rsidRPr="00505C99">
        <w:rPr>
          <w:sz w:val="24"/>
          <w:szCs w:val="24"/>
        </w:rPr>
        <w:t>authorities</w:t>
      </w:r>
      <w:r w:rsidRPr="00505C99">
        <w:rPr>
          <w:sz w:val="24"/>
          <w:szCs w:val="24"/>
        </w:rPr>
        <w:t xml:space="preserve"> of </w:t>
      </w:r>
      <w:r w:rsidR="0071127B" w:rsidRPr="00505C99">
        <w:rPr>
          <w:sz w:val="24"/>
          <w:szCs w:val="24"/>
        </w:rPr>
        <w:t>the State where the child protection measure was taken</w:t>
      </w:r>
      <w:r w:rsidRPr="00505C99">
        <w:rPr>
          <w:sz w:val="24"/>
          <w:szCs w:val="24"/>
        </w:rPr>
        <w:t xml:space="preserve"> by the enforcing </w:t>
      </w:r>
      <w:r w:rsidR="004703C4" w:rsidRPr="00505C99">
        <w:rPr>
          <w:sz w:val="24"/>
          <w:szCs w:val="24"/>
        </w:rPr>
        <w:t>authorities</w:t>
      </w:r>
      <w:r w:rsidRPr="00505C99">
        <w:rPr>
          <w:sz w:val="24"/>
          <w:szCs w:val="24"/>
        </w:rPr>
        <w:t xml:space="preserve">.  This permits, </w:t>
      </w:r>
      <w:proofErr w:type="spellStart"/>
      <w:r w:rsidRPr="00505C99">
        <w:rPr>
          <w:sz w:val="24"/>
          <w:szCs w:val="24"/>
        </w:rPr>
        <w:t>eg</w:t>
      </w:r>
      <w:proofErr w:type="spellEnd"/>
      <w:r w:rsidRPr="00505C99">
        <w:rPr>
          <w:sz w:val="24"/>
          <w:szCs w:val="24"/>
        </w:rPr>
        <w:t xml:space="preserve"> a review of where the child was habitually resident at the relevant time when th</w:t>
      </w:r>
      <w:r w:rsidR="0071127B" w:rsidRPr="00505C99">
        <w:rPr>
          <w:sz w:val="24"/>
          <w:szCs w:val="24"/>
        </w:rPr>
        <w:t>at was the basis of jurisdiction used by the authorities granting the measure which is sought to be enforced</w:t>
      </w:r>
      <w:r w:rsidRPr="00505C99">
        <w:rPr>
          <w:sz w:val="24"/>
          <w:szCs w:val="24"/>
        </w:rPr>
        <w:t>.  This has the a</w:t>
      </w:r>
      <w:r w:rsidR="0071127B" w:rsidRPr="00505C99">
        <w:rPr>
          <w:sz w:val="24"/>
          <w:szCs w:val="24"/>
        </w:rPr>
        <w:t xml:space="preserve">dvantage that the enforcing authority can prevent the circulation of measures based on a clearly erroneous exercise of jurisdiction.  One feature which will help to restrict the review by the enforcing authority is that it </w:t>
      </w:r>
      <w:r w:rsidR="009F19B6" w:rsidRPr="00505C99">
        <w:rPr>
          <w:sz w:val="24"/>
          <w:szCs w:val="24"/>
        </w:rPr>
        <w:t>‘</w:t>
      </w:r>
      <w:r w:rsidR="0071127B" w:rsidRPr="00505C99">
        <w:rPr>
          <w:sz w:val="24"/>
          <w:szCs w:val="24"/>
        </w:rPr>
        <w:t>is bound by the findings of fact on which the authority of the State where the measure was taken based its jurisdiction.</w:t>
      </w:r>
      <w:r w:rsidR="009F19B6" w:rsidRPr="00505C99">
        <w:rPr>
          <w:sz w:val="24"/>
          <w:szCs w:val="24"/>
        </w:rPr>
        <w:t>’</w:t>
      </w:r>
      <w:r w:rsidR="00B36103" w:rsidRPr="00505C99">
        <w:rPr>
          <w:rStyle w:val="FootnoteReference"/>
          <w:sz w:val="24"/>
          <w:szCs w:val="24"/>
        </w:rPr>
        <w:footnoteReference w:id="50"/>
      </w:r>
      <w:r w:rsidR="0071127B" w:rsidRPr="00505C99">
        <w:rPr>
          <w:sz w:val="24"/>
          <w:szCs w:val="24"/>
        </w:rPr>
        <w:t xml:space="preserve"> However, it must be noted that although habitual residence is a factual concept – or perhaps better a mixed question of fact and law</w:t>
      </w:r>
      <w:r w:rsidR="009A2191" w:rsidRPr="00505C99">
        <w:rPr>
          <w:rStyle w:val="FootnoteReference"/>
          <w:sz w:val="24"/>
          <w:szCs w:val="24"/>
        </w:rPr>
        <w:footnoteReference w:id="51"/>
      </w:r>
      <w:r w:rsidR="0071127B" w:rsidRPr="00505C99">
        <w:rPr>
          <w:sz w:val="24"/>
          <w:szCs w:val="24"/>
        </w:rPr>
        <w:t xml:space="preserve"> – the finding that a child is habitually resident in the jurisdiction is not a finding of fact for this purpose.</w:t>
      </w:r>
      <w:r w:rsidR="00B36103" w:rsidRPr="00505C99">
        <w:rPr>
          <w:rStyle w:val="FootnoteReference"/>
          <w:sz w:val="24"/>
          <w:szCs w:val="24"/>
        </w:rPr>
        <w:footnoteReference w:id="52"/>
      </w:r>
      <w:r w:rsidR="00931D26" w:rsidRPr="00505C99">
        <w:rPr>
          <w:sz w:val="24"/>
          <w:szCs w:val="24"/>
        </w:rPr>
        <w:t xml:space="preserve"> </w:t>
      </w:r>
    </w:p>
    <w:p w14:paraId="1017EA3B" w14:textId="77777777" w:rsidR="00931D26" w:rsidRPr="00505C99" w:rsidRDefault="00931D26" w:rsidP="00505C99">
      <w:pPr>
        <w:spacing w:line="360" w:lineRule="auto"/>
        <w:jc w:val="both"/>
        <w:rPr>
          <w:sz w:val="24"/>
          <w:szCs w:val="24"/>
        </w:rPr>
      </w:pPr>
    </w:p>
    <w:p w14:paraId="008189C4" w14:textId="77777777" w:rsidR="006242F1" w:rsidRPr="00505C99" w:rsidRDefault="00931D26" w:rsidP="00505C99">
      <w:pPr>
        <w:spacing w:line="360" w:lineRule="auto"/>
        <w:jc w:val="both"/>
        <w:rPr>
          <w:sz w:val="24"/>
          <w:szCs w:val="24"/>
        </w:rPr>
      </w:pPr>
      <w:r w:rsidRPr="00505C99">
        <w:rPr>
          <w:sz w:val="24"/>
          <w:szCs w:val="24"/>
        </w:rPr>
        <w:t xml:space="preserve">In relation to the other grounds for refusal of a parental responsibility measure there is a lot of symmetry between Brussels </w:t>
      </w:r>
      <w:proofErr w:type="spellStart"/>
      <w:r w:rsidRPr="00505C99">
        <w:rPr>
          <w:sz w:val="24"/>
          <w:szCs w:val="24"/>
        </w:rPr>
        <w:t>IIa</w:t>
      </w:r>
      <w:proofErr w:type="spellEnd"/>
      <w:r w:rsidRPr="00505C99">
        <w:rPr>
          <w:sz w:val="24"/>
          <w:szCs w:val="24"/>
        </w:rPr>
        <w:t xml:space="preserve"> and Hague 1996.</w:t>
      </w:r>
      <w:r w:rsidRPr="00505C99">
        <w:rPr>
          <w:rStyle w:val="FootnoteReference"/>
          <w:sz w:val="24"/>
          <w:szCs w:val="24"/>
        </w:rPr>
        <w:footnoteReference w:id="53"/>
      </w:r>
      <w:r w:rsidRPr="00505C99">
        <w:rPr>
          <w:sz w:val="24"/>
          <w:szCs w:val="24"/>
        </w:rPr>
        <w:t xml:space="preserve"> </w:t>
      </w:r>
      <w:r w:rsidR="003A48ED" w:rsidRPr="00505C99">
        <w:rPr>
          <w:sz w:val="24"/>
          <w:szCs w:val="24"/>
        </w:rPr>
        <w:t>T</w:t>
      </w:r>
      <w:r w:rsidRPr="00505C99">
        <w:rPr>
          <w:sz w:val="24"/>
          <w:szCs w:val="24"/>
        </w:rPr>
        <w:t xml:space="preserve">he Commission is proposing to widen the divergence in its Proposal for the Recast of Brussels </w:t>
      </w:r>
      <w:proofErr w:type="spellStart"/>
      <w:r w:rsidRPr="00505C99">
        <w:rPr>
          <w:sz w:val="24"/>
          <w:szCs w:val="24"/>
        </w:rPr>
        <w:t>IIa</w:t>
      </w:r>
      <w:proofErr w:type="spellEnd"/>
      <w:r w:rsidR="00AE73A7" w:rsidRPr="00505C99">
        <w:rPr>
          <w:rStyle w:val="FootnoteReference"/>
          <w:sz w:val="24"/>
          <w:szCs w:val="24"/>
        </w:rPr>
        <w:footnoteReference w:id="54"/>
      </w:r>
      <w:r w:rsidRPr="00505C99">
        <w:rPr>
          <w:sz w:val="24"/>
          <w:szCs w:val="24"/>
        </w:rPr>
        <w:t xml:space="preserve"> </w:t>
      </w:r>
      <w:r w:rsidR="003A48ED" w:rsidRPr="00505C99">
        <w:rPr>
          <w:sz w:val="24"/>
          <w:szCs w:val="24"/>
        </w:rPr>
        <w:t>by</w:t>
      </w:r>
      <w:r w:rsidR="00AE73A7" w:rsidRPr="00505C99">
        <w:rPr>
          <w:sz w:val="24"/>
          <w:szCs w:val="24"/>
        </w:rPr>
        <w:t xml:space="preserve"> removing what is now Article 23(b) (the mirror of Article 23(2</w:t>
      </w:r>
      <w:proofErr w:type="gramStart"/>
      <w:r w:rsidR="00AE73A7" w:rsidRPr="00505C99">
        <w:rPr>
          <w:sz w:val="24"/>
          <w:szCs w:val="24"/>
        </w:rPr>
        <w:t>)(</w:t>
      </w:r>
      <w:proofErr w:type="gramEnd"/>
      <w:r w:rsidR="00AE73A7" w:rsidRPr="00505C99">
        <w:rPr>
          <w:sz w:val="24"/>
          <w:szCs w:val="24"/>
        </w:rPr>
        <w:t>b) of Hague 1996)</w:t>
      </w:r>
      <w:r w:rsidR="00F6394C" w:rsidRPr="00505C99">
        <w:rPr>
          <w:sz w:val="24"/>
          <w:szCs w:val="24"/>
        </w:rPr>
        <w:t xml:space="preserve"> and Article 23(g) (the mirror of Article 23(2)(f) of Hague 1996</w:t>
      </w:r>
      <w:r w:rsidR="009C1784" w:rsidRPr="00505C99">
        <w:rPr>
          <w:sz w:val="24"/>
          <w:szCs w:val="24"/>
        </w:rPr>
        <w:t>)</w:t>
      </w:r>
      <w:r w:rsidR="00F6394C" w:rsidRPr="00505C99">
        <w:rPr>
          <w:sz w:val="24"/>
          <w:szCs w:val="24"/>
        </w:rPr>
        <w:t>.</w:t>
      </w:r>
      <w:r w:rsidR="006E2C0E" w:rsidRPr="00505C99">
        <w:rPr>
          <w:rStyle w:val="FootnoteReference"/>
          <w:sz w:val="24"/>
          <w:szCs w:val="24"/>
        </w:rPr>
        <w:footnoteReference w:id="55"/>
      </w:r>
      <w:r w:rsidR="00F6394C" w:rsidRPr="00505C99">
        <w:rPr>
          <w:sz w:val="24"/>
          <w:szCs w:val="24"/>
        </w:rPr>
        <w:t xml:space="preserve"> The former protects the ability of the requested State to </w:t>
      </w:r>
      <w:r w:rsidR="003A48ED" w:rsidRPr="00505C99">
        <w:rPr>
          <w:sz w:val="24"/>
          <w:szCs w:val="24"/>
        </w:rPr>
        <w:t>refuse</w:t>
      </w:r>
      <w:r w:rsidR="00F6394C" w:rsidRPr="00505C99">
        <w:rPr>
          <w:sz w:val="24"/>
          <w:szCs w:val="24"/>
        </w:rPr>
        <w:t xml:space="preserve"> recogni</w:t>
      </w:r>
      <w:r w:rsidR="003A48ED" w:rsidRPr="00505C99">
        <w:rPr>
          <w:sz w:val="24"/>
          <w:szCs w:val="24"/>
        </w:rPr>
        <w:t>tion of</w:t>
      </w:r>
      <w:r w:rsidR="00F6394C" w:rsidRPr="00505C99">
        <w:rPr>
          <w:sz w:val="24"/>
          <w:szCs w:val="24"/>
        </w:rPr>
        <w:t xml:space="preserve"> a parental responsibility measure if it is not satisfied that the child had been given a proper opportunity to be heard by the authority granting the measure. The Commission’s </w:t>
      </w:r>
      <w:r w:rsidR="003A48ED" w:rsidRPr="00505C99">
        <w:rPr>
          <w:sz w:val="24"/>
          <w:szCs w:val="24"/>
        </w:rPr>
        <w:t>P</w:t>
      </w:r>
      <w:r w:rsidR="00F6394C" w:rsidRPr="00505C99">
        <w:rPr>
          <w:sz w:val="24"/>
          <w:szCs w:val="24"/>
        </w:rPr>
        <w:t xml:space="preserve">roposal for a revised Brussels </w:t>
      </w:r>
      <w:proofErr w:type="spellStart"/>
      <w:r w:rsidR="00F6394C" w:rsidRPr="00505C99">
        <w:rPr>
          <w:sz w:val="24"/>
          <w:szCs w:val="24"/>
        </w:rPr>
        <w:t>IIa</w:t>
      </w:r>
      <w:proofErr w:type="spellEnd"/>
      <w:r w:rsidR="00F6394C" w:rsidRPr="00505C99">
        <w:rPr>
          <w:sz w:val="24"/>
          <w:szCs w:val="24"/>
        </w:rPr>
        <w:t xml:space="preserve"> tries to ensure that the child will be given such an opportunity to be heard by the authorities exercising jurisdiction to take the parental responsibility measure</w:t>
      </w:r>
      <w:r w:rsidR="00BB3B34" w:rsidRPr="00505C99">
        <w:rPr>
          <w:rStyle w:val="FootnoteReference"/>
          <w:sz w:val="24"/>
          <w:szCs w:val="24"/>
        </w:rPr>
        <w:footnoteReference w:id="56"/>
      </w:r>
      <w:r w:rsidR="00F6394C" w:rsidRPr="00505C99">
        <w:rPr>
          <w:sz w:val="24"/>
          <w:szCs w:val="24"/>
        </w:rPr>
        <w:t xml:space="preserve"> and </w:t>
      </w:r>
      <w:r w:rsidR="00BB3B34" w:rsidRPr="00505C99">
        <w:rPr>
          <w:sz w:val="24"/>
          <w:szCs w:val="24"/>
        </w:rPr>
        <w:t>to have to certify that they have done so</w:t>
      </w:r>
      <w:r w:rsidR="00BB3B34" w:rsidRPr="00505C99">
        <w:rPr>
          <w:rStyle w:val="FootnoteReference"/>
          <w:sz w:val="24"/>
          <w:szCs w:val="24"/>
        </w:rPr>
        <w:footnoteReference w:id="57"/>
      </w:r>
      <w:r w:rsidR="00BB3B34" w:rsidRPr="00505C99">
        <w:rPr>
          <w:sz w:val="24"/>
          <w:szCs w:val="24"/>
        </w:rPr>
        <w:t xml:space="preserve"> and </w:t>
      </w:r>
      <w:r w:rsidR="00F6394C" w:rsidRPr="00505C99">
        <w:rPr>
          <w:sz w:val="24"/>
          <w:szCs w:val="24"/>
        </w:rPr>
        <w:t xml:space="preserve">then </w:t>
      </w:r>
      <w:r w:rsidR="00BB3B34" w:rsidRPr="00505C99">
        <w:rPr>
          <w:sz w:val="24"/>
          <w:szCs w:val="24"/>
        </w:rPr>
        <w:t xml:space="preserve">for the enforcing authorities to </w:t>
      </w:r>
      <w:r w:rsidR="00F6394C" w:rsidRPr="00505C99">
        <w:rPr>
          <w:sz w:val="24"/>
          <w:szCs w:val="24"/>
        </w:rPr>
        <w:t xml:space="preserve">rely on mutual trust that it has actually happened. </w:t>
      </w:r>
      <w:r w:rsidR="00BB3B34" w:rsidRPr="00505C99">
        <w:rPr>
          <w:sz w:val="24"/>
          <w:szCs w:val="24"/>
        </w:rPr>
        <w:t xml:space="preserve">The Brussels </w:t>
      </w:r>
      <w:proofErr w:type="spellStart"/>
      <w:r w:rsidR="00BB3B34" w:rsidRPr="00505C99">
        <w:rPr>
          <w:sz w:val="24"/>
          <w:szCs w:val="24"/>
        </w:rPr>
        <w:t>IIa</w:t>
      </w:r>
      <w:proofErr w:type="spellEnd"/>
      <w:r w:rsidR="00BB3B34" w:rsidRPr="00505C99">
        <w:rPr>
          <w:sz w:val="24"/>
          <w:szCs w:val="24"/>
        </w:rPr>
        <w:t xml:space="preserve"> reforms to try to ensure that a child is heard by the authorities taking the decision on a parental responsibility measure are welcome. However</w:t>
      </w:r>
      <w:r w:rsidR="005602EE" w:rsidRPr="00505C99">
        <w:rPr>
          <w:sz w:val="24"/>
          <w:szCs w:val="24"/>
        </w:rPr>
        <w:t>,</w:t>
      </w:r>
      <w:r w:rsidR="00F6394C" w:rsidRPr="00505C99">
        <w:rPr>
          <w:sz w:val="24"/>
          <w:szCs w:val="24"/>
        </w:rPr>
        <w:t xml:space="preserve"> the Brussels </w:t>
      </w:r>
      <w:proofErr w:type="spellStart"/>
      <w:r w:rsidR="00F6394C" w:rsidRPr="00505C99">
        <w:rPr>
          <w:sz w:val="24"/>
          <w:szCs w:val="24"/>
        </w:rPr>
        <w:t>IIa</w:t>
      </w:r>
      <w:proofErr w:type="spellEnd"/>
      <w:r w:rsidR="00F6394C" w:rsidRPr="00505C99">
        <w:rPr>
          <w:sz w:val="24"/>
          <w:szCs w:val="24"/>
        </w:rPr>
        <w:t xml:space="preserve"> system of automatic enforcement of the override of a non-return order in child abduction cases was predicated on the idea of guaranteeing that the child should be given a proper opportunity to be heard in the country of the child’s habitual residence before the override order c</w:t>
      </w:r>
      <w:r w:rsidR="00BB3B34" w:rsidRPr="00505C99">
        <w:rPr>
          <w:sz w:val="24"/>
          <w:szCs w:val="24"/>
        </w:rPr>
        <w:t>ould</w:t>
      </w:r>
      <w:r w:rsidR="00F6394C" w:rsidRPr="00505C99">
        <w:rPr>
          <w:sz w:val="24"/>
          <w:szCs w:val="24"/>
        </w:rPr>
        <w:t xml:space="preserve"> be granted </w:t>
      </w:r>
      <w:r w:rsidR="00BB3B34" w:rsidRPr="00505C99">
        <w:rPr>
          <w:sz w:val="24"/>
          <w:szCs w:val="24"/>
        </w:rPr>
        <w:t>but</w:t>
      </w:r>
      <w:r w:rsidR="00F6394C" w:rsidRPr="00505C99">
        <w:rPr>
          <w:sz w:val="24"/>
          <w:szCs w:val="24"/>
        </w:rPr>
        <w:t xml:space="preserve"> the evidence shows that often such orders are being granted without a child being given a real opportunity to be heard</w:t>
      </w:r>
      <w:r w:rsidR="00BB3B34" w:rsidRPr="00505C99">
        <w:rPr>
          <w:sz w:val="24"/>
          <w:szCs w:val="24"/>
        </w:rPr>
        <w:t>.</w:t>
      </w:r>
      <w:r w:rsidR="006E2C0E" w:rsidRPr="00505C99">
        <w:rPr>
          <w:rStyle w:val="FootnoteReference"/>
          <w:sz w:val="24"/>
          <w:szCs w:val="24"/>
        </w:rPr>
        <w:footnoteReference w:id="58"/>
      </w:r>
      <w:r w:rsidR="00F6394C" w:rsidRPr="00505C99">
        <w:rPr>
          <w:sz w:val="24"/>
          <w:szCs w:val="24"/>
        </w:rPr>
        <w:t xml:space="preserve"> </w:t>
      </w:r>
      <w:r w:rsidR="00BB3B34" w:rsidRPr="00505C99">
        <w:rPr>
          <w:sz w:val="24"/>
          <w:szCs w:val="24"/>
        </w:rPr>
        <w:t>I</w:t>
      </w:r>
      <w:r w:rsidR="00F6394C" w:rsidRPr="00505C99">
        <w:rPr>
          <w:sz w:val="24"/>
          <w:szCs w:val="24"/>
        </w:rPr>
        <w:t>t seems that the Commission are being overly optimistic and risking the rights of the child</w:t>
      </w:r>
      <w:r w:rsidR="00BB3B34" w:rsidRPr="00505C99">
        <w:rPr>
          <w:sz w:val="24"/>
          <w:szCs w:val="24"/>
        </w:rPr>
        <w:t xml:space="preserve"> by taking away the protection of the child’s right to be heard being reviewed by the enforcement authorities in other Member States</w:t>
      </w:r>
      <w:r w:rsidR="00F6394C" w:rsidRPr="00505C99">
        <w:rPr>
          <w:sz w:val="24"/>
          <w:szCs w:val="24"/>
        </w:rPr>
        <w:t>.</w:t>
      </w:r>
      <w:r w:rsidR="007413F5" w:rsidRPr="00505C99">
        <w:rPr>
          <w:sz w:val="24"/>
          <w:szCs w:val="24"/>
        </w:rPr>
        <w:t xml:space="preserve"> Such a review was uphel</w:t>
      </w:r>
      <w:r w:rsidR="006242F1" w:rsidRPr="00505C99">
        <w:rPr>
          <w:sz w:val="24"/>
          <w:szCs w:val="24"/>
        </w:rPr>
        <w:t>d</w:t>
      </w:r>
      <w:r w:rsidR="007413F5" w:rsidRPr="00505C99">
        <w:rPr>
          <w:sz w:val="24"/>
          <w:szCs w:val="24"/>
        </w:rPr>
        <w:t xml:space="preserve"> </w:t>
      </w:r>
      <w:r w:rsidR="006242F1" w:rsidRPr="00505C99">
        <w:rPr>
          <w:sz w:val="24"/>
          <w:szCs w:val="24"/>
        </w:rPr>
        <w:t xml:space="preserve">by </w:t>
      </w:r>
      <w:r w:rsidR="007413F5" w:rsidRPr="00505C99">
        <w:rPr>
          <w:sz w:val="24"/>
          <w:szCs w:val="24"/>
        </w:rPr>
        <w:t>the Engl</w:t>
      </w:r>
      <w:r w:rsidR="006242F1" w:rsidRPr="00505C99">
        <w:rPr>
          <w:sz w:val="24"/>
          <w:szCs w:val="24"/>
        </w:rPr>
        <w:t>is</w:t>
      </w:r>
      <w:r w:rsidR="007413F5" w:rsidRPr="00505C99">
        <w:rPr>
          <w:sz w:val="24"/>
          <w:szCs w:val="24"/>
        </w:rPr>
        <w:t xml:space="preserve">h and Welsh </w:t>
      </w:r>
      <w:r w:rsidR="006242F1" w:rsidRPr="00505C99">
        <w:rPr>
          <w:sz w:val="24"/>
          <w:szCs w:val="24"/>
        </w:rPr>
        <w:t>C</w:t>
      </w:r>
      <w:r w:rsidR="007413F5" w:rsidRPr="00505C99">
        <w:rPr>
          <w:sz w:val="24"/>
          <w:szCs w:val="24"/>
        </w:rPr>
        <w:t>ourt of Appeal in relation to a Romanian decision where the child was not given an adequate op</w:t>
      </w:r>
      <w:r w:rsidR="006242F1" w:rsidRPr="00505C99">
        <w:rPr>
          <w:sz w:val="24"/>
          <w:szCs w:val="24"/>
        </w:rPr>
        <w:t>p</w:t>
      </w:r>
      <w:r w:rsidR="007413F5" w:rsidRPr="00505C99">
        <w:rPr>
          <w:sz w:val="24"/>
          <w:szCs w:val="24"/>
        </w:rPr>
        <w:t>ortunity to be heard because it did violate a fundamental principle of English procedure.</w:t>
      </w:r>
      <w:r w:rsidR="006242F1" w:rsidRPr="00505C99">
        <w:rPr>
          <w:rStyle w:val="FootnoteReference"/>
          <w:sz w:val="24"/>
          <w:szCs w:val="24"/>
        </w:rPr>
        <w:footnoteReference w:id="59"/>
      </w:r>
      <w:r w:rsidR="007413F5" w:rsidRPr="00505C99">
        <w:rPr>
          <w:sz w:val="24"/>
          <w:szCs w:val="24"/>
        </w:rPr>
        <w:t xml:space="preserve"> </w:t>
      </w:r>
      <w:r w:rsidR="006242F1" w:rsidRPr="00505C99">
        <w:rPr>
          <w:sz w:val="24"/>
          <w:szCs w:val="24"/>
        </w:rPr>
        <w:t>Briggs</w:t>
      </w:r>
      <w:r w:rsidR="00B67026" w:rsidRPr="00505C99">
        <w:rPr>
          <w:sz w:val="24"/>
          <w:szCs w:val="24"/>
        </w:rPr>
        <w:t xml:space="preserve"> LJ</w:t>
      </w:r>
      <w:r w:rsidR="006242F1" w:rsidRPr="00505C99">
        <w:rPr>
          <w:sz w:val="24"/>
          <w:szCs w:val="24"/>
        </w:rPr>
        <w:t xml:space="preserve"> said:</w:t>
      </w:r>
    </w:p>
    <w:p w14:paraId="048EDDC1" w14:textId="77777777" w:rsidR="006242F1" w:rsidRPr="00505C99" w:rsidRDefault="006242F1" w:rsidP="00505C99">
      <w:pPr>
        <w:spacing w:line="360" w:lineRule="auto"/>
        <w:rPr>
          <w:sz w:val="24"/>
          <w:szCs w:val="24"/>
        </w:rPr>
      </w:pPr>
    </w:p>
    <w:p w14:paraId="77DDD568" w14:textId="77777777" w:rsidR="006242F1" w:rsidRPr="00505C99" w:rsidRDefault="006242F1" w:rsidP="00505C99">
      <w:pPr>
        <w:spacing w:line="360" w:lineRule="auto"/>
        <w:ind w:left="720"/>
        <w:rPr>
          <w:sz w:val="24"/>
          <w:szCs w:val="24"/>
        </w:rPr>
      </w:pPr>
      <w:r w:rsidRPr="00505C99">
        <w:rPr>
          <w:sz w:val="24"/>
          <w:szCs w:val="24"/>
        </w:rPr>
        <w:t xml:space="preserve">Article 23 contains exceptions to the core principle of mutual recognition which lies at the </w:t>
      </w:r>
      <w:r w:rsidR="003A48ED" w:rsidRPr="00505C99">
        <w:rPr>
          <w:sz w:val="24"/>
          <w:szCs w:val="24"/>
        </w:rPr>
        <w:t>h</w:t>
      </w:r>
      <w:r w:rsidRPr="00505C99">
        <w:rPr>
          <w:sz w:val="24"/>
          <w:szCs w:val="24"/>
        </w:rPr>
        <w:t>eart of BIIR. It must therefore be narrowly construed. But I do regard the failure even to</w:t>
      </w:r>
      <w:r w:rsidR="003A48ED" w:rsidRPr="00505C99">
        <w:rPr>
          <w:sz w:val="24"/>
          <w:szCs w:val="24"/>
        </w:rPr>
        <w:t xml:space="preserve"> </w:t>
      </w:r>
      <w:r w:rsidRPr="00505C99">
        <w:rPr>
          <w:sz w:val="24"/>
          <w:szCs w:val="24"/>
        </w:rPr>
        <w:t>consider whether to give David an opportunity to be heard as fully deserving being</w:t>
      </w:r>
      <w:r w:rsidR="003A48ED" w:rsidRPr="00505C99">
        <w:rPr>
          <w:sz w:val="24"/>
          <w:szCs w:val="24"/>
        </w:rPr>
        <w:t xml:space="preserve"> </w:t>
      </w:r>
      <w:r w:rsidRPr="00505C99">
        <w:rPr>
          <w:sz w:val="24"/>
          <w:szCs w:val="24"/>
        </w:rPr>
        <w:t>described as a violation of a fundamental principle of the procedure of our courts. Although some might regard the age of seven as lying near the borderline above which the giving of such an opportunity might be regarded as routine, the very large implications for him of the decision sought by his father, namely a complete change in his main carer and a move to a country in which he had not lived since very soon after his birth, cried out for consideration of the question whether he should be heard, all the more so since the mother, who might have been supposed to be likely to put the case for preserving the status quo, appeared to be taking no part in the appeal.</w:t>
      </w:r>
      <w:r w:rsidRPr="00505C99">
        <w:rPr>
          <w:rStyle w:val="FootnoteReference"/>
          <w:sz w:val="24"/>
          <w:szCs w:val="24"/>
        </w:rPr>
        <w:footnoteReference w:id="60"/>
      </w:r>
      <w:r w:rsidRPr="00505C99">
        <w:rPr>
          <w:sz w:val="24"/>
          <w:szCs w:val="24"/>
        </w:rPr>
        <w:t xml:space="preserve"> </w:t>
      </w:r>
    </w:p>
    <w:p w14:paraId="1450E722" w14:textId="77777777" w:rsidR="006242F1" w:rsidRPr="00505C99" w:rsidRDefault="006242F1" w:rsidP="00505C99">
      <w:pPr>
        <w:spacing w:line="360" w:lineRule="auto"/>
        <w:rPr>
          <w:sz w:val="24"/>
          <w:szCs w:val="24"/>
        </w:rPr>
      </w:pPr>
    </w:p>
    <w:p w14:paraId="7EBFD099" w14:textId="77777777" w:rsidR="006242F1" w:rsidRPr="00505C99" w:rsidRDefault="006242F1" w:rsidP="00505C99">
      <w:pPr>
        <w:spacing w:line="360" w:lineRule="auto"/>
        <w:rPr>
          <w:sz w:val="24"/>
          <w:szCs w:val="24"/>
        </w:rPr>
      </w:pPr>
    </w:p>
    <w:p w14:paraId="1FB28834" w14:textId="77777777" w:rsidR="0036667A" w:rsidRPr="00505C99" w:rsidRDefault="007413F5" w:rsidP="00505C99">
      <w:pPr>
        <w:spacing w:line="360" w:lineRule="auto"/>
        <w:jc w:val="both"/>
        <w:rPr>
          <w:sz w:val="24"/>
          <w:szCs w:val="24"/>
        </w:rPr>
      </w:pPr>
      <w:r w:rsidRPr="00505C99">
        <w:rPr>
          <w:sz w:val="24"/>
          <w:szCs w:val="24"/>
        </w:rPr>
        <w:t xml:space="preserve">It will be </w:t>
      </w:r>
      <w:r w:rsidR="003A48ED" w:rsidRPr="00505C99">
        <w:rPr>
          <w:sz w:val="24"/>
          <w:szCs w:val="24"/>
        </w:rPr>
        <w:t>a</w:t>
      </w:r>
      <w:r w:rsidRPr="00505C99">
        <w:rPr>
          <w:sz w:val="24"/>
          <w:szCs w:val="24"/>
        </w:rPr>
        <w:t xml:space="preserve"> benefit of Brexit </w:t>
      </w:r>
      <w:r w:rsidR="00FA52C9" w:rsidRPr="00505C99">
        <w:rPr>
          <w:sz w:val="24"/>
          <w:szCs w:val="24"/>
        </w:rPr>
        <w:t>for UK courts</w:t>
      </w:r>
      <w:r w:rsidR="002901CC" w:rsidRPr="00505C99">
        <w:rPr>
          <w:sz w:val="24"/>
          <w:szCs w:val="24"/>
        </w:rPr>
        <w:t xml:space="preserve"> to review whether the fundamental principle of the law of the relevant part of the UK on a child having an opportunity to be heard has been respected by the authorities in an EU Member State</w:t>
      </w:r>
      <w:r w:rsidRPr="00505C99">
        <w:rPr>
          <w:sz w:val="24"/>
          <w:szCs w:val="24"/>
        </w:rPr>
        <w:t xml:space="preserve"> under Hague 1996 even if </w:t>
      </w:r>
      <w:r w:rsidR="00FA52C9" w:rsidRPr="00505C99">
        <w:rPr>
          <w:sz w:val="24"/>
          <w:szCs w:val="24"/>
        </w:rPr>
        <w:t>such a review</w:t>
      </w:r>
      <w:r w:rsidRPr="00505C99">
        <w:rPr>
          <w:sz w:val="24"/>
          <w:szCs w:val="24"/>
        </w:rPr>
        <w:t xml:space="preserve"> is removed from Brussels </w:t>
      </w:r>
      <w:proofErr w:type="spellStart"/>
      <w:r w:rsidRPr="00505C99">
        <w:rPr>
          <w:sz w:val="24"/>
          <w:szCs w:val="24"/>
        </w:rPr>
        <w:t>IIa</w:t>
      </w:r>
      <w:proofErr w:type="spellEnd"/>
      <w:r w:rsidRPr="00505C99">
        <w:rPr>
          <w:sz w:val="24"/>
          <w:szCs w:val="24"/>
        </w:rPr>
        <w:t xml:space="preserve"> by the Recast.</w:t>
      </w:r>
      <w:r w:rsidRPr="00505C99">
        <w:rPr>
          <w:rStyle w:val="FootnoteReference"/>
          <w:sz w:val="24"/>
          <w:szCs w:val="24"/>
        </w:rPr>
        <w:footnoteReference w:id="61"/>
      </w:r>
    </w:p>
    <w:p w14:paraId="1F1FE7DE" w14:textId="77777777" w:rsidR="00931D26" w:rsidRPr="00505C99" w:rsidRDefault="00931D26" w:rsidP="00505C99">
      <w:pPr>
        <w:spacing w:line="360" w:lineRule="auto"/>
        <w:rPr>
          <w:sz w:val="24"/>
          <w:szCs w:val="24"/>
        </w:rPr>
      </w:pPr>
    </w:p>
    <w:p w14:paraId="260EF33C" w14:textId="77777777" w:rsidR="00E0191E" w:rsidRPr="00505C99" w:rsidRDefault="00E0191E" w:rsidP="00505C99">
      <w:pPr>
        <w:spacing w:line="360" w:lineRule="auto"/>
        <w:rPr>
          <w:sz w:val="24"/>
          <w:szCs w:val="24"/>
        </w:rPr>
      </w:pPr>
    </w:p>
    <w:p w14:paraId="2696187E" w14:textId="77777777" w:rsidR="00DF0B74" w:rsidRPr="00505C99" w:rsidRDefault="00DF0B74" w:rsidP="00505C99">
      <w:pPr>
        <w:spacing w:line="360" w:lineRule="auto"/>
        <w:rPr>
          <w:sz w:val="24"/>
          <w:szCs w:val="24"/>
        </w:rPr>
      </w:pPr>
      <w:r w:rsidRPr="00505C99">
        <w:rPr>
          <w:sz w:val="24"/>
          <w:szCs w:val="24"/>
        </w:rPr>
        <w:t>iii. Access</w:t>
      </w:r>
    </w:p>
    <w:p w14:paraId="67366F7D" w14:textId="77777777" w:rsidR="00DF0B74" w:rsidRPr="00505C99" w:rsidRDefault="00DF0B74" w:rsidP="00505C99">
      <w:pPr>
        <w:spacing w:line="360" w:lineRule="auto"/>
        <w:rPr>
          <w:sz w:val="24"/>
          <w:szCs w:val="24"/>
        </w:rPr>
      </w:pPr>
    </w:p>
    <w:p w14:paraId="2E6006D2" w14:textId="77777777" w:rsidR="00781CC8" w:rsidRPr="00505C99" w:rsidRDefault="000777B6" w:rsidP="00505C99">
      <w:pPr>
        <w:spacing w:line="360" w:lineRule="auto"/>
        <w:jc w:val="both"/>
        <w:rPr>
          <w:sz w:val="24"/>
          <w:szCs w:val="24"/>
        </w:rPr>
      </w:pPr>
      <w:r w:rsidRPr="00505C99">
        <w:rPr>
          <w:sz w:val="24"/>
          <w:szCs w:val="24"/>
        </w:rPr>
        <w:t>C</w:t>
      </w:r>
      <w:r w:rsidR="00781CC8" w:rsidRPr="00505C99">
        <w:rPr>
          <w:sz w:val="24"/>
          <w:szCs w:val="24"/>
        </w:rPr>
        <w:t>ross-border enforcement of access is usually an attempt to enforce an order in the country where the child is now habitually resident</w:t>
      </w:r>
      <w:r w:rsidRPr="00505C99">
        <w:rPr>
          <w:sz w:val="24"/>
          <w:szCs w:val="24"/>
        </w:rPr>
        <w:t xml:space="preserve"> and </w:t>
      </w:r>
      <w:r w:rsidR="00781CC8" w:rsidRPr="00505C99">
        <w:rPr>
          <w:sz w:val="24"/>
          <w:szCs w:val="24"/>
        </w:rPr>
        <w:t>the courts in th</w:t>
      </w:r>
      <w:r w:rsidRPr="00505C99">
        <w:rPr>
          <w:sz w:val="24"/>
          <w:szCs w:val="24"/>
        </w:rPr>
        <w:t>at country</w:t>
      </w:r>
      <w:r w:rsidR="00781CC8" w:rsidRPr="00505C99">
        <w:rPr>
          <w:sz w:val="24"/>
          <w:szCs w:val="24"/>
        </w:rPr>
        <w:t xml:space="preserve"> have jurisdiction to alter </w:t>
      </w:r>
      <w:r w:rsidRPr="00505C99">
        <w:rPr>
          <w:sz w:val="24"/>
          <w:szCs w:val="24"/>
        </w:rPr>
        <w:t>the access</w:t>
      </w:r>
      <w:r w:rsidR="00781CC8" w:rsidRPr="00505C99">
        <w:rPr>
          <w:sz w:val="24"/>
          <w:szCs w:val="24"/>
        </w:rPr>
        <w:t xml:space="preserve"> rather than enforce </w:t>
      </w:r>
      <w:r w:rsidRPr="00505C99">
        <w:rPr>
          <w:sz w:val="24"/>
          <w:szCs w:val="24"/>
        </w:rPr>
        <w:t>the order</w:t>
      </w:r>
      <w:r w:rsidR="00781CC8" w:rsidRPr="00505C99">
        <w:rPr>
          <w:sz w:val="24"/>
          <w:szCs w:val="24"/>
        </w:rPr>
        <w:t>.</w:t>
      </w:r>
      <w:r w:rsidR="00B70743" w:rsidRPr="00505C99">
        <w:rPr>
          <w:rStyle w:val="FootnoteReference"/>
          <w:sz w:val="24"/>
          <w:szCs w:val="24"/>
        </w:rPr>
        <w:footnoteReference w:id="62"/>
      </w:r>
      <w:r w:rsidR="00781CC8" w:rsidRPr="00505C99">
        <w:rPr>
          <w:sz w:val="24"/>
          <w:szCs w:val="24"/>
        </w:rPr>
        <w:t xml:space="preserve"> This is highlighted by a European Court of Human Rights</w:t>
      </w:r>
      <w:r w:rsidR="002E2716" w:rsidRPr="00505C99">
        <w:rPr>
          <w:sz w:val="24"/>
          <w:szCs w:val="24"/>
        </w:rPr>
        <w:t xml:space="preserve"> (ECtHR)</w:t>
      </w:r>
      <w:r w:rsidR="00781CC8" w:rsidRPr="00505C99">
        <w:rPr>
          <w:sz w:val="24"/>
          <w:szCs w:val="24"/>
        </w:rPr>
        <w:t xml:space="preserve"> decision in </w:t>
      </w:r>
      <w:proofErr w:type="gramStart"/>
      <w:r w:rsidR="00781CC8" w:rsidRPr="00505C99">
        <w:rPr>
          <w:i/>
          <w:sz w:val="24"/>
          <w:szCs w:val="24"/>
        </w:rPr>
        <w:t>Manic</w:t>
      </w:r>
      <w:proofErr w:type="gramEnd"/>
      <w:r w:rsidR="00781CC8" w:rsidRPr="00505C99">
        <w:rPr>
          <w:i/>
          <w:sz w:val="24"/>
          <w:szCs w:val="24"/>
        </w:rPr>
        <w:t xml:space="preserve"> v Lithuania</w:t>
      </w:r>
      <w:r w:rsidR="005D25AC" w:rsidRPr="00505C99">
        <w:rPr>
          <w:i/>
          <w:sz w:val="24"/>
          <w:szCs w:val="24"/>
        </w:rPr>
        <w:t xml:space="preserve"> </w:t>
      </w:r>
      <w:r w:rsidR="005D25AC" w:rsidRPr="00505C99">
        <w:rPr>
          <w:sz w:val="24"/>
          <w:szCs w:val="24"/>
        </w:rPr>
        <w:t>that will be examined shortly</w:t>
      </w:r>
      <w:r w:rsidR="00781CC8" w:rsidRPr="00505C99">
        <w:rPr>
          <w:sz w:val="24"/>
          <w:szCs w:val="24"/>
        </w:rPr>
        <w:t>.</w:t>
      </w:r>
      <w:r w:rsidR="00781CC8" w:rsidRPr="00505C99">
        <w:rPr>
          <w:rStyle w:val="FootnoteReference"/>
          <w:sz w:val="24"/>
          <w:szCs w:val="24"/>
        </w:rPr>
        <w:footnoteReference w:id="63"/>
      </w:r>
      <w:r w:rsidR="00781CC8" w:rsidRPr="00505C99">
        <w:rPr>
          <w:sz w:val="24"/>
          <w:szCs w:val="24"/>
        </w:rPr>
        <w:t xml:space="preserve"> </w:t>
      </w:r>
      <w:r w:rsidR="00755001" w:rsidRPr="00505C99">
        <w:rPr>
          <w:sz w:val="24"/>
          <w:szCs w:val="24"/>
        </w:rPr>
        <w:t xml:space="preserve">One of the differences between Hague 1996 and Brussels </w:t>
      </w:r>
      <w:proofErr w:type="spellStart"/>
      <w:r w:rsidR="00755001" w:rsidRPr="00505C99">
        <w:rPr>
          <w:sz w:val="24"/>
          <w:szCs w:val="24"/>
        </w:rPr>
        <w:t>IIa</w:t>
      </w:r>
      <w:proofErr w:type="spellEnd"/>
      <w:r w:rsidR="00755001" w:rsidRPr="00505C99">
        <w:rPr>
          <w:sz w:val="24"/>
          <w:szCs w:val="24"/>
        </w:rPr>
        <w:t xml:space="preserve"> is that the latter creates a special temporary continuation of access jurisdiction for the courts of the former habitual residence for a three month period after the child has moved lawfully from one Member State to another and acquired a new habitual residence in the State it has moved to. This jurisdiction only applies for a three month period following the move, only for the purpose of modifying a judgment on access rights already issued in that Member State before the child moved, and where the holder of the access rights is still habitually resident in that Member State and has not accepted the jurisdiction of the courts of the Member State of the child’s new habitual residence by participating in proceedings before those courts without contesting the jurisdiction.</w:t>
      </w:r>
      <w:r w:rsidR="00755001" w:rsidRPr="00505C99">
        <w:rPr>
          <w:rStyle w:val="FootnoteReference"/>
          <w:sz w:val="24"/>
          <w:szCs w:val="24"/>
        </w:rPr>
        <w:footnoteReference w:id="64"/>
      </w:r>
      <w:r w:rsidR="00755001" w:rsidRPr="00505C99">
        <w:rPr>
          <w:sz w:val="24"/>
          <w:szCs w:val="24"/>
        </w:rPr>
        <w:t xml:space="preserve"> The question is whether this very limited jurisdiction </w:t>
      </w:r>
      <w:r w:rsidR="00FC4B08" w:rsidRPr="00505C99">
        <w:rPr>
          <w:sz w:val="24"/>
          <w:szCs w:val="24"/>
        </w:rPr>
        <w:t xml:space="preserve">coupled with the automatic enforcement of access judgments under Article 41 of Brussels </w:t>
      </w:r>
      <w:proofErr w:type="spellStart"/>
      <w:r w:rsidR="00FC4B08" w:rsidRPr="00505C99">
        <w:rPr>
          <w:sz w:val="24"/>
          <w:szCs w:val="24"/>
        </w:rPr>
        <w:t>IIa</w:t>
      </w:r>
      <w:proofErr w:type="spellEnd"/>
      <w:r w:rsidR="00FC4B08" w:rsidRPr="00505C99">
        <w:rPr>
          <w:sz w:val="24"/>
          <w:szCs w:val="24"/>
        </w:rPr>
        <w:t xml:space="preserve"> </w:t>
      </w:r>
      <w:r w:rsidR="00755001" w:rsidRPr="00505C99">
        <w:rPr>
          <w:sz w:val="24"/>
          <w:szCs w:val="24"/>
        </w:rPr>
        <w:t xml:space="preserve">adds any value to </w:t>
      </w:r>
      <w:proofErr w:type="gramStart"/>
      <w:r w:rsidR="00755001" w:rsidRPr="00505C99">
        <w:rPr>
          <w:sz w:val="24"/>
          <w:szCs w:val="24"/>
        </w:rPr>
        <w:t>the</w:t>
      </w:r>
      <w:proofErr w:type="gramEnd"/>
      <w:r w:rsidR="00755001" w:rsidRPr="00505C99">
        <w:rPr>
          <w:sz w:val="24"/>
          <w:szCs w:val="24"/>
        </w:rPr>
        <w:t xml:space="preserve"> Hague 1996 system</w:t>
      </w:r>
      <w:r w:rsidR="00E4025B" w:rsidRPr="00505C99">
        <w:rPr>
          <w:sz w:val="24"/>
          <w:szCs w:val="24"/>
        </w:rPr>
        <w:t>.</w:t>
      </w:r>
    </w:p>
    <w:p w14:paraId="34F27C28" w14:textId="77777777" w:rsidR="00B07B37" w:rsidRPr="00505C99" w:rsidRDefault="00B07B37" w:rsidP="00505C99">
      <w:pPr>
        <w:spacing w:line="360" w:lineRule="auto"/>
        <w:jc w:val="both"/>
        <w:rPr>
          <w:sz w:val="24"/>
          <w:szCs w:val="24"/>
        </w:rPr>
      </w:pPr>
    </w:p>
    <w:p w14:paraId="5591EA83" w14:textId="77777777" w:rsidR="00715191" w:rsidRPr="00505C99" w:rsidRDefault="00B07B37" w:rsidP="00505C99">
      <w:pPr>
        <w:spacing w:line="360" w:lineRule="auto"/>
        <w:jc w:val="both"/>
        <w:rPr>
          <w:sz w:val="24"/>
          <w:szCs w:val="24"/>
        </w:rPr>
      </w:pPr>
      <w:r w:rsidRPr="00505C99">
        <w:rPr>
          <w:sz w:val="24"/>
          <w:szCs w:val="24"/>
        </w:rPr>
        <w:t xml:space="preserve">In </w:t>
      </w:r>
      <w:r w:rsidRPr="00505C99">
        <w:rPr>
          <w:i/>
          <w:sz w:val="24"/>
          <w:szCs w:val="24"/>
        </w:rPr>
        <w:t>Manic v Lithuania</w:t>
      </w:r>
      <w:r w:rsidRPr="00505C99">
        <w:rPr>
          <w:sz w:val="24"/>
          <w:szCs w:val="24"/>
        </w:rPr>
        <w:t xml:space="preserve">, </w:t>
      </w:r>
      <w:r w:rsidR="003705DB" w:rsidRPr="00505C99">
        <w:rPr>
          <w:sz w:val="24"/>
          <w:szCs w:val="24"/>
        </w:rPr>
        <w:t>a Romanian/Moldovan man and a Lithuanian woman met in the UK in 2005.  They had a son on 18 September 2007. In July 2008</w:t>
      </w:r>
      <w:r w:rsidR="00E4025B" w:rsidRPr="00505C99">
        <w:rPr>
          <w:sz w:val="24"/>
          <w:szCs w:val="24"/>
        </w:rPr>
        <w:t>,</w:t>
      </w:r>
      <w:r w:rsidR="003705DB" w:rsidRPr="00505C99">
        <w:rPr>
          <w:sz w:val="24"/>
          <w:szCs w:val="24"/>
        </w:rPr>
        <w:t xml:space="preserve"> while the mother was in Lithuania with the son</w:t>
      </w:r>
      <w:r w:rsidR="00E4025B" w:rsidRPr="00505C99">
        <w:rPr>
          <w:sz w:val="24"/>
          <w:szCs w:val="24"/>
        </w:rPr>
        <w:t>,</w:t>
      </w:r>
      <w:r w:rsidR="003705DB" w:rsidRPr="00505C99">
        <w:rPr>
          <w:sz w:val="24"/>
          <w:szCs w:val="24"/>
        </w:rPr>
        <w:t xml:space="preserve"> she told the father that their relationship was over and she was keeping the child in Lithuania. The father launched Hague 1980 return proceedings in Lithuania</w:t>
      </w:r>
      <w:r w:rsidR="005966E1" w:rsidRPr="00505C99">
        <w:rPr>
          <w:sz w:val="24"/>
          <w:szCs w:val="24"/>
        </w:rPr>
        <w:t xml:space="preserve"> and the Vilnius Regional Court</w:t>
      </w:r>
      <w:r w:rsidR="003705DB" w:rsidRPr="00505C99">
        <w:rPr>
          <w:sz w:val="24"/>
          <w:szCs w:val="24"/>
        </w:rPr>
        <w:t xml:space="preserve"> </w:t>
      </w:r>
      <w:r w:rsidR="005966E1" w:rsidRPr="00505C99">
        <w:rPr>
          <w:sz w:val="24"/>
          <w:szCs w:val="24"/>
        </w:rPr>
        <w:t xml:space="preserve">gave its decision on 6 March 2009. It </w:t>
      </w:r>
      <w:r w:rsidR="003705DB" w:rsidRPr="00505C99">
        <w:rPr>
          <w:sz w:val="24"/>
          <w:szCs w:val="24"/>
        </w:rPr>
        <w:t xml:space="preserve">accepted that the child was habitually resident in England and Wales </w:t>
      </w:r>
      <w:r w:rsidR="005966E1" w:rsidRPr="00505C99">
        <w:rPr>
          <w:sz w:val="24"/>
          <w:szCs w:val="24"/>
        </w:rPr>
        <w:t xml:space="preserve">in July 2008 </w:t>
      </w:r>
      <w:r w:rsidR="003705DB" w:rsidRPr="00505C99">
        <w:rPr>
          <w:sz w:val="24"/>
          <w:szCs w:val="24"/>
        </w:rPr>
        <w:t>and that the child’s father had custody rights under English law.  However</w:t>
      </w:r>
      <w:r w:rsidR="00E4025B" w:rsidRPr="00505C99">
        <w:rPr>
          <w:sz w:val="24"/>
          <w:szCs w:val="24"/>
        </w:rPr>
        <w:t>,</w:t>
      </w:r>
      <w:r w:rsidR="005966E1" w:rsidRPr="00505C99">
        <w:rPr>
          <w:sz w:val="24"/>
          <w:szCs w:val="24"/>
        </w:rPr>
        <w:t xml:space="preserve"> it refused to return the child, on the basis of Article 13(1</w:t>
      </w:r>
      <w:proofErr w:type="gramStart"/>
      <w:r w:rsidR="005966E1" w:rsidRPr="00505C99">
        <w:rPr>
          <w:sz w:val="24"/>
          <w:szCs w:val="24"/>
        </w:rPr>
        <w:t>)(</w:t>
      </w:r>
      <w:proofErr w:type="gramEnd"/>
      <w:r w:rsidR="005966E1" w:rsidRPr="00505C99">
        <w:rPr>
          <w:sz w:val="24"/>
          <w:szCs w:val="24"/>
        </w:rPr>
        <w:t>b) Hague 1980, because the baby was dependent on being looked after by his mother and she could not look after the baby in London without financial support which the father was not promising to provide.</w:t>
      </w:r>
      <w:r w:rsidR="005966E1" w:rsidRPr="00505C99">
        <w:rPr>
          <w:rStyle w:val="FootnoteReference"/>
          <w:sz w:val="24"/>
          <w:szCs w:val="24"/>
        </w:rPr>
        <w:footnoteReference w:id="65"/>
      </w:r>
      <w:r w:rsidR="005966E1" w:rsidRPr="00505C99">
        <w:rPr>
          <w:sz w:val="24"/>
          <w:szCs w:val="24"/>
        </w:rPr>
        <w:t xml:space="preserve"> </w:t>
      </w:r>
    </w:p>
    <w:p w14:paraId="59DE9794" w14:textId="77777777" w:rsidR="00715191" w:rsidRPr="00505C99" w:rsidRDefault="00715191" w:rsidP="00505C99">
      <w:pPr>
        <w:spacing w:line="360" w:lineRule="auto"/>
        <w:jc w:val="both"/>
        <w:rPr>
          <w:sz w:val="24"/>
          <w:szCs w:val="24"/>
        </w:rPr>
      </w:pPr>
    </w:p>
    <w:p w14:paraId="4B69E97F" w14:textId="21A2013D" w:rsidR="00B07B37" w:rsidRPr="00505C99" w:rsidRDefault="005966E1" w:rsidP="00505C99">
      <w:pPr>
        <w:spacing w:line="360" w:lineRule="auto"/>
        <w:jc w:val="both"/>
        <w:rPr>
          <w:sz w:val="24"/>
          <w:szCs w:val="24"/>
        </w:rPr>
      </w:pPr>
      <w:r w:rsidRPr="00505C99">
        <w:rPr>
          <w:sz w:val="24"/>
          <w:szCs w:val="24"/>
        </w:rPr>
        <w:t>T</w:t>
      </w:r>
      <w:r w:rsidR="00B07B37" w:rsidRPr="00505C99">
        <w:rPr>
          <w:sz w:val="24"/>
          <w:szCs w:val="24"/>
        </w:rPr>
        <w:t xml:space="preserve">he </w:t>
      </w:r>
      <w:r w:rsidR="005C20A4" w:rsidRPr="00505C99">
        <w:rPr>
          <w:sz w:val="24"/>
          <w:szCs w:val="24"/>
        </w:rPr>
        <w:t>father</w:t>
      </w:r>
      <w:r w:rsidRPr="00505C99">
        <w:rPr>
          <w:sz w:val="24"/>
          <w:szCs w:val="24"/>
        </w:rPr>
        <w:t xml:space="preserve"> started new proceedings in the English and Welsh High Court</w:t>
      </w:r>
      <w:r w:rsidR="005C20A4" w:rsidRPr="00505C99">
        <w:rPr>
          <w:sz w:val="24"/>
          <w:szCs w:val="24"/>
        </w:rPr>
        <w:t xml:space="preserve"> seeking an order under Articles 11(6)-(8) of Brussels </w:t>
      </w:r>
      <w:proofErr w:type="spellStart"/>
      <w:r w:rsidR="005C20A4" w:rsidRPr="00505C99">
        <w:rPr>
          <w:sz w:val="24"/>
          <w:szCs w:val="24"/>
        </w:rPr>
        <w:t>IIa</w:t>
      </w:r>
      <w:proofErr w:type="spellEnd"/>
      <w:r w:rsidR="005C20A4" w:rsidRPr="00505C99">
        <w:rPr>
          <w:sz w:val="24"/>
          <w:szCs w:val="24"/>
        </w:rPr>
        <w:t xml:space="preserve"> to get the child returned to England</w:t>
      </w:r>
      <w:r w:rsidRPr="00505C99">
        <w:rPr>
          <w:sz w:val="24"/>
          <w:szCs w:val="24"/>
        </w:rPr>
        <w:t>.  Charles J gave a judgment on 28 April 2010</w:t>
      </w:r>
      <w:r w:rsidRPr="00505C99">
        <w:rPr>
          <w:rStyle w:val="FootnoteReference"/>
          <w:sz w:val="24"/>
          <w:szCs w:val="24"/>
        </w:rPr>
        <w:footnoteReference w:id="66"/>
      </w:r>
      <w:r w:rsidRPr="00505C99">
        <w:rPr>
          <w:sz w:val="24"/>
          <w:szCs w:val="24"/>
        </w:rPr>
        <w:t xml:space="preserve"> </w:t>
      </w:r>
      <w:r w:rsidR="005C20A4" w:rsidRPr="00505C99">
        <w:rPr>
          <w:sz w:val="24"/>
          <w:szCs w:val="24"/>
        </w:rPr>
        <w:t>based on a full welfare inquiry.</w:t>
      </w:r>
      <w:r w:rsidR="005C20A4" w:rsidRPr="00505C99">
        <w:rPr>
          <w:rStyle w:val="FootnoteReference"/>
          <w:sz w:val="24"/>
          <w:szCs w:val="24"/>
        </w:rPr>
        <w:footnoteReference w:id="67"/>
      </w:r>
      <w:r w:rsidR="005C20A4" w:rsidRPr="00505C99">
        <w:rPr>
          <w:sz w:val="24"/>
          <w:szCs w:val="24"/>
        </w:rPr>
        <w:t xml:space="preserve"> </w:t>
      </w:r>
      <w:r w:rsidR="002E2716" w:rsidRPr="00505C99">
        <w:rPr>
          <w:sz w:val="24"/>
          <w:szCs w:val="24"/>
        </w:rPr>
        <w:t>He</w:t>
      </w:r>
      <w:r w:rsidR="005C20A4" w:rsidRPr="00505C99">
        <w:rPr>
          <w:sz w:val="24"/>
          <w:szCs w:val="24"/>
        </w:rPr>
        <w:t xml:space="preserve"> was disappointed that the English proceedings took 12 months and that this had been a factor in creating the </w:t>
      </w:r>
      <w:r w:rsidR="009F19B6" w:rsidRPr="00505C99">
        <w:rPr>
          <w:sz w:val="24"/>
          <w:szCs w:val="24"/>
        </w:rPr>
        <w:t>‘</w:t>
      </w:r>
      <w:r w:rsidR="005C20A4" w:rsidRPr="00505C99">
        <w:rPr>
          <w:sz w:val="24"/>
          <w:szCs w:val="24"/>
        </w:rPr>
        <w:t>very considerable degree of antagonism</w:t>
      </w:r>
      <w:r w:rsidR="009F19B6" w:rsidRPr="00505C99">
        <w:rPr>
          <w:sz w:val="24"/>
          <w:szCs w:val="24"/>
        </w:rPr>
        <w:t>’</w:t>
      </w:r>
      <w:r w:rsidR="005C20A4" w:rsidRPr="00505C99">
        <w:rPr>
          <w:sz w:val="24"/>
          <w:szCs w:val="24"/>
        </w:rPr>
        <w:t xml:space="preserve"> that had grown between the</w:t>
      </w:r>
      <w:r w:rsidR="00AD7C92" w:rsidRPr="00505C99">
        <w:rPr>
          <w:sz w:val="24"/>
          <w:szCs w:val="24"/>
        </w:rPr>
        <w:t xml:space="preserve"> parents</w:t>
      </w:r>
      <w:r w:rsidR="005C20A4" w:rsidRPr="00505C99">
        <w:rPr>
          <w:sz w:val="24"/>
          <w:szCs w:val="24"/>
        </w:rPr>
        <w:t>.</w:t>
      </w:r>
      <w:r w:rsidR="005C20A4" w:rsidRPr="00505C99">
        <w:rPr>
          <w:rStyle w:val="FootnoteReference"/>
          <w:sz w:val="24"/>
          <w:szCs w:val="24"/>
        </w:rPr>
        <w:footnoteReference w:id="68"/>
      </w:r>
      <w:r w:rsidR="005C20A4" w:rsidRPr="00505C99">
        <w:rPr>
          <w:sz w:val="24"/>
          <w:szCs w:val="24"/>
        </w:rPr>
        <w:t xml:space="preserve"> </w:t>
      </w:r>
      <w:r w:rsidR="002E2716" w:rsidRPr="00505C99">
        <w:rPr>
          <w:sz w:val="24"/>
          <w:szCs w:val="24"/>
        </w:rPr>
        <w:t>He</w:t>
      </w:r>
      <w:r w:rsidR="00DB0AAB" w:rsidRPr="00505C99">
        <w:rPr>
          <w:sz w:val="24"/>
          <w:szCs w:val="24"/>
        </w:rPr>
        <w:t xml:space="preserve"> correctly </w:t>
      </w:r>
      <w:r w:rsidR="002E2716" w:rsidRPr="00505C99">
        <w:rPr>
          <w:sz w:val="24"/>
          <w:szCs w:val="24"/>
        </w:rPr>
        <w:t>ordered</w:t>
      </w:r>
      <w:r w:rsidR="00DB0AAB" w:rsidRPr="00505C99">
        <w:rPr>
          <w:sz w:val="24"/>
          <w:szCs w:val="24"/>
        </w:rPr>
        <w:t xml:space="preserve"> interim contact between the child and the father in England without this being a return order and it </w:t>
      </w:r>
      <w:r w:rsidR="002E2716" w:rsidRPr="00505C99">
        <w:rPr>
          <w:sz w:val="24"/>
          <w:szCs w:val="24"/>
        </w:rPr>
        <w:t>took place</w:t>
      </w:r>
      <w:r w:rsidR="00DB0AAB" w:rsidRPr="00505C99">
        <w:rPr>
          <w:sz w:val="24"/>
          <w:szCs w:val="24"/>
        </w:rPr>
        <w:t xml:space="preserve"> in March 2010.</w:t>
      </w:r>
      <w:r w:rsidR="00DB0AAB" w:rsidRPr="00505C99">
        <w:rPr>
          <w:rStyle w:val="FootnoteReference"/>
          <w:sz w:val="24"/>
          <w:szCs w:val="24"/>
        </w:rPr>
        <w:footnoteReference w:id="69"/>
      </w:r>
      <w:r w:rsidR="00D96F49" w:rsidRPr="00505C99">
        <w:rPr>
          <w:sz w:val="24"/>
          <w:szCs w:val="24"/>
        </w:rPr>
        <w:t xml:space="preserve"> In his final order Charles J decided that the mother should be allowed to relocate permanently to Lithuania with the child and that there should not be a shared care arrangement involving the father and mother.</w:t>
      </w:r>
      <w:r w:rsidR="00D96F49" w:rsidRPr="00505C99">
        <w:rPr>
          <w:rStyle w:val="FootnoteReference"/>
          <w:sz w:val="24"/>
          <w:szCs w:val="24"/>
        </w:rPr>
        <w:footnoteReference w:id="70"/>
      </w:r>
      <w:r w:rsidR="00D96F49" w:rsidRPr="00505C99">
        <w:rPr>
          <w:sz w:val="24"/>
          <w:szCs w:val="24"/>
        </w:rPr>
        <w:t xml:space="preserve"> Instead</w:t>
      </w:r>
      <w:r w:rsidR="00E4025B" w:rsidRPr="00505C99">
        <w:rPr>
          <w:sz w:val="24"/>
          <w:szCs w:val="24"/>
        </w:rPr>
        <w:t>,</w:t>
      </w:r>
      <w:r w:rsidR="00D96F49" w:rsidRPr="00505C99">
        <w:rPr>
          <w:sz w:val="24"/>
          <w:szCs w:val="24"/>
        </w:rPr>
        <w:t xml:space="preserve"> the father </w:t>
      </w:r>
      <w:r w:rsidR="002E2716" w:rsidRPr="00505C99">
        <w:rPr>
          <w:sz w:val="24"/>
          <w:szCs w:val="24"/>
        </w:rPr>
        <w:t>wa</w:t>
      </w:r>
      <w:r w:rsidR="00D96F49" w:rsidRPr="00505C99">
        <w:rPr>
          <w:sz w:val="24"/>
          <w:szCs w:val="24"/>
        </w:rPr>
        <w:t>s to have staying contact of 7 to 10 days four times a year with the child.</w:t>
      </w:r>
      <w:r w:rsidR="00D96F49" w:rsidRPr="00505C99">
        <w:rPr>
          <w:rStyle w:val="FootnoteReference"/>
          <w:sz w:val="24"/>
          <w:szCs w:val="24"/>
        </w:rPr>
        <w:footnoteReference w:id="71"/>
      </w:r>
      <w:r w:rsidR="00D96F49" w:rsidRPr="00505C99">
        <w:rPr>
          <w:sz w:val="24"/>
          <w:szCs w:val="24"/>
        </w:rPr>
        <w:t xml:space="preserve">  Rather surprisingly</w:t>
      </w:r>
      <w:r w:rsidR="00E4025B" w:rsidRPr="00505C99">
        <w:rPr>
          <w:sz w:val="24"/>
          <w:szCs w:val="24"/>
        </w:rPr>
        <w:t>,</w:t>
      </w:r>
      <w:r w:rsidR="00D96F49" w:rsidRPr="00505C99">
        <w:rPr>
          <w:sz w:val="24"/>
          <w:szCs w:val="24"/>
        </w:rPr>
        <w:t xml:space="preserve"> Charles J did not just make an order for contact/access for the father that would be enforceable under Brussels </w:t>
      </w:r>
      <w:proofErr w:type="spellStart"/>
      <w:r w:rsidR="00D96F49" w:rsidRPr="00505C99">
        <w:rPr>
          <w:sz w:val="24"/>
          <w:szCs w:val="24"/>
        </w:rPr>
        <w:t>IIa</w:t>
      </w:r>
      <w:proofErr w:type="spellEnd"/>
      <w:r w:rsidR="00D96F49" w:rsidRPr="00505C99">
        <w:rPr>
          <w:sz w:val="24"/>
          <w:szCs w:val="24"/>
        </w:rPr>
        <w:t xml:space="preserve"> but insisted on an Article 11(8) </w:t>
      </w:r>
      <w:r w:rsidR="009F19B6" w:rsidRPr="00505C99">
        <w:rPr>
          <w:sz w:val="24"/>
          <w:szCs w:val="24"/>
        </w:rPr>
        <w:t>‘</w:t>
      </w:r>
      <w:r w:rsidR="00D96F49" w:rsidRPr="00505C99">
        <w:rPr>
          <w:sz w:val="24"/>
          <w:szCs w:val="24"/>
        </w:rPr>
        <w:t>return order</w:t>
      </w:r>
      <w:r w:rsidR="009F19B6" w:rsidRPr="00505C99">
        <w:rPr>
          <w:sz w:val="24"/>
          <w:szCs w:val="24"/>
        </w:rPr>
        <w:t>’</w:t>
      </w:r>
      <w:r w:rsidR="00D96F49" w:rsidRPr="00505C99">
        <w:rPr>
          <w:sz w:val="24"/>
          <w:szCs w:val="24"/>
        </w:rPr>
        <w:t xml:space="preserve"> just for the child to come back to England for 6 weeks to allow a more intensive period of contact with the father – provided he paid for the mother to come to England as well at a cost of £3000 – before he would allow the mother to relocate to Lithuania with the child permanently.</w:t>
      </w:r>
      <w:r w:rsidR="00526D37" w:rsidRPr="00505C99">
        <w:rPr>
          <w:rStyle w:val="FootnoteReference"/>
          <w:sz w:val="24"/>
          <w:szCs w:val="24"/>
        </w:rPr>
        <w:footnoteReference w:id="72"/>
      </w:r>
      <w:r w:rsidR="00D96F49" w:rsidRPr="00505C99">
        <w:rPr>
          <w:sz w:val="24"/>
          <w:szCs w:val="24"/>
        </w:rPr>
        <w:t xml:space="preserve"> </w:t>
      </w:r>
      <w:r w:rsidR="002E2716" w:rsidRPr="00505C99">
        <w:rPr>
          <w:sz w:val="24"/>
          <w:szCs w:val="24"/>
        </w:rPr>
        <w:t>He noted</w:t>
      </w:r>
      <w:r w:rsidR="00D96F49" w:rsidRPr="00505C99">
        <w:rPr>
          <w:sz w:val="24"/>
          <w:szCs w:val="24"/>
        </w:rPr>
        <w:t xml:space="preserve"> that after the relocation to Lithuania the jurisdiction to decide on future access arrangements would pass to the Lithuanian courts.</w:t>
      </w:r>
      <w:r w:rsidR="00810400" w:rsidRPr="00505C99">
        <w:rPr>
          <w:rStyle w:val="FootnoteReference"/>
          <w:sz w:val="24"/>
          <w:szCs w:val="24"/>
        </w:rPr>
        <w:footnoteReference w:id="73"/>
      </w:r>
    </w:p>
    <w:p w14:paraId="392F9A15" w14:textId="77777777" w:rsidR="00715191" w:rsidRPr="00505C99" w:rsidRDefault="00715191" w:rsidP="00505C99">
      <w:pPr>
        <w:spacing w:line="360" w:lineRule="auto"/>
        <w:rPr>
          <w:sz w:val="24"/>
          <w:szCs w:val="24"/>
        </w:rPr>
      </w:pPr>
    </w:p>
    <w:p w14:paraId="7236F583" w14:textId="77777777" w:rsidR="00715191" w:rsidRPr="00505C99" w:rsidRDefault="00715191" w:rsidP="00505C99">
      <w:pPr>
        <w:spacing w:line="360" w:lineRule="auto"/>
        <w:jc w:val="both"/>
        <w:rPr>
          <w:sz w:val="24"/>
          <w:szCs w:val="24"/>
        </w:rPr>
      </w:pPr>
      <w:r w:rsidRPr="00505C99">
        <w:rPr>
          <w:sz w:val="24"/>
          <w:szCs w:val="24"/>
        </w:rPr>
        <w:t xml:space="preserve">On 18 June 2010 the </w:t>
      </w:r>
      <w:r w:rsidR="004F258C" w:rsidRPr="00505C99">
        <w:rPr>
          <w:sz w:val="24"/>
          <w:szCs w:val="24"/>
        </w:rPr>
        <w:t>H</w:t>
      </w:r>
      <w:r w:rsidRPr="00505C99">
        <w:rPr>
          <w:sz w:val="24"/>
          <w:szCs w:val="24"/>
        </w:rPr>
        <w:t>igh Court issued a revised judgment and order which is referred to by the Second Section of the ECtHR but which is not reported in the UK.</w:t>
      </w:r>
      <w:r w:rsidRPr="00505C99">
        <w:rPr>
          <w:rStyle w:val="FootnoteReference"/>
          <w:sz w:val="24"/>
          <w:szCs w:val="24"/>
        </w:rPr>
        <w:footnoteReference w:id="74"/>
      </w:r>
      <w:r w:rsidRPr="00505C99">
        <w:rPr>
          <w:sz w:val="24"/>
          <w:szCs w:val="24"/>
        </w:rPr>
        <w:t xml:space="preserve">  </w:t>
      </w:r>
      <w:r w:rsidR="001334CB" w:rsidRPr="00505C99">
        <w:rPr>
          <w:sz w:val="24"/>
          <w:szCs w:val="24"/>
        </w:rPr>
        <w:t>It required the mother to bring the child to the UK from 19 June until 14 July 2010 to allow contact between the father and son in England if he paid the mother £3000 to cover her costs and for two further contact visits in England from 18-25 September and 11-18 December 2010 provided he paid £600 to cover the costs of the mother coming with the child for each of those visits. The June to July 2010 visit took place and therefore the mother was free to relocate permanently with the child to Lithuania. On 16 September 2010 the mother’s lawyer informed the father that she would not be making the contact visit with the child to England on 18 September and said that the jurisdiction over the child’s contact arrangements had now passed to the Lithuanian courts.</w:t>
      </w:r>
      <w:r w:rsidR="001334CB" w:rsidRPr="00505C99">
        <w:rPr>
          <w:rStyle w:val="FootnoteReference"/>
          <w:sz w:val="24"/>
          <w:szCs w:val="24"/>
        </w:rPr>
        <w:footnoteReference w:id="75"/>
      </w:r>
      <w:r w:rsidR="00CC0A42" w:rsidRPr="00505C99">
        <w:rPr>
          <w:sz w:val="24"/>
          <w:szCs w:val="24"/>
        </w:rPr>
        <w:t xml:space="preserve"> The father then tried to enforce the English contact order in Lithuania requiring this contact visit in England by going through the English and Welsh Central Authority.  The response from the Lithuanian Central Authority was that such a contact order is directly enforceable in Lithuania and that it had been submitted to a bailiff for enforcement.</w:t>
      </w:r>
      <w:r w:rsidR="00CC0A42" w:rsidRPr="00505C99">
        <w:rPr>
          <w:rStyle w:val="FootnoteReference"/>
          <w:sz w:val="24"/>
          <w:szCs w:val="24"/>
        </w:rPr>
        <w:footnoteReference w:id="76"/>
      </w:r>
      <w:r w:rsidR="00CC0A42" w:rsidRPr="00505C99">
        <w:rPr>
          <w:sz w:val="24"/>
          <w:szCs w:val="24"/>
        </w:rPr>
        <w:t xml:space="preserve"> </w:t>
      </w:r>
      <w:r w:rsidR="00206B78" w:rsidRPr="00505C99">
        <w:rPr>
          <w:sz w:val="24"/>
          <w:szCs w:val="24"/>
        </w:rPr>
        <w:t xml:space="preserve">Between 30 October 2010 and 10 February 2011 the father wrote twenty six emails to the bailiff and produced the evidence that he had an Article 41 certificate under Brussels </w:t>
      </w:r>
      <w:proofErr w:type="spellStart"/>
      <w:r w:rsidR="00206B78" w:rsidRPr="00505C99">
        <w:rPr>
          <w:sz w:val="24"/>
          <w:szCs w:val="24"/>
        </w:rPr>
        <w:t>IIa</w:t>
      </w:r>
      <w:proofErr w:type="spellEnd"/>
      <w:r w:rsidR="00206B78" w:rsidRPr="00505C99">
        <w:rPr>
          <w:sz w:val="24"/>
          <w:szCs w:val="24"/>
        </w:rPr>
        <w:t xml:space="preserve"> </w:t>
      </w:r>
      <w:r w:rsidR="00335147" w:rsidRPr="00505C99">
        <w:rPr>
          <w:sz w:val="24"/>
          <w:szCs w:val="24"/>
        </w:rPr>
        <w:t xml:space="preserve">from the English judge </w:t>
      </w:r>
      <w:r w:rsidR="00206B78" w:rsidRPr="00505C99">
        <w:rPr>
          <w:sz w:val="24"/>
          <w:szCs w:val="24"/>
        </w:rPr>
        <w:t>which g</w:t>
      </w:r>
      <w:r w:rsidR="00880522" w:rsidRPr="00505C99">
        <w:rPr>
          <w:sz w:val="24"/>
          <w:szCs w:val="24"/>
        </w:rPr>
        <w:t>ave</w:t>
      </w:r>
      <w:r w:rsidR="00206B78" w:rsidRPr="00505C99">
        <w:rPr>
          <w:sz w:val="24"/>
          <w:szCs w:val="24"/>
        </w:rPr>
        <w:t xml:space="preserve"> him a directly enforceable right to have his contact </w:t>
      </w:r>
      <w:r w:rsidR="00335147" w:rsidRPr="00505C99">
        <w:rPr>
          <w:sz w:val="24"/>
          <w:szCs w:val="24"/>
        </w:rPr>
        <w:t>rights enforced by the Lithuanian authorities.</w:t>
      </w:r>
      <w:r w:rsidR="00335147" w:rsidRPr="00505C99">
        <w:rPr>
          <w:rStyle w:val="FootnoteReference"/>
          <w:sz w:val="24"/>
          <w:szCs w:val="24"/>
        </w:rPr>
        <w:footnoteReference w:id="77"/>
      </w:r>
      <w:r w:rsidR="006708C2" w:rsidRPr="00505C99">
        <w:rPr>
          <w:sz w:val="24"/>
          <w:szCs w:val="24"/>
        </w:rPr>
        <w:t xml:space="preserve"> On 27 December 2010 the bailiff initiated court proceedings against the mother concerning the non-enforcement of the English contact order after the bailiff established that the mother had not gone to England with the child for the father to have contact between 11 and 18 December 2010.</w:t>
      </w:r>
      <w:r w:rsidR="006708C2" w:rsidRPr="00505C99">
        <w:rPr>
          <w:rStyle w:val="FootnoteReference"/>
          <w:sz w:val="24"/>
          <w:szCs w:val="24"/>
        </w:rPr>
        <w:footnoteReference w:id="78"/>
      </w:r>
      <w:r w:rsidR="006708C2" w:rsidRPr="00505C99">
        <w:rPr>
          <w:sz w:val="24"/>
          <w:szCs w:val="24"/>
        </w:rPr>
        <w:t xml:space="preserve"> The </w:t>
      </w:r>
      <w:proofErr w:type="spellStart"/>
      <w:r w:rsidR="006708C2" w:rsidRPr="00505C99">
        <w:rPr>
          <w:sz w:val="24"/>
          <w:szCs w:val="24"/>
        </w:rPr>
        <w:t>Utena</w:t>
      </w:r>
      <w:proofErr w:type="spellEnd"/>
      <w:r w:rsidR="006708C2" w:rsidRPr="00505C99">
        <w:rPr>
          <w:sz w:val="24"/>
          <w:szCs w:val="24"/>
        </w:rPr>
        <w:t xml:space="preserve"> District Court dismissed the bailiff’s complaint on 27 April 2011 following its decision of 1 March 2011 to grant interim protective measures for the mother preventing contact outside Lithuania and requiring the father to have supervised contact with his son in Lithuania.</w:t>
      </w:r>
      <w:r w:rsidR="006708C2" w:rsidRPr="00505C99">
        <w:rPr>
          <w:rStyle w:val="FootnoteReference"/>
          <w:sz w:val="24"/>
          <w:szCs w:val="24"/>
        </w:rPr>
        <w:footnoteReference w:id="79"/>
      </w:r>
      <w:r w:rsidR="00557B18" w:rsidRPr="00505C99">
        <w:rPr>
          <w:sz w:val="24"/>
          <w:szCs w:val="24"/>
        </w:rPr>
        <w:t xml:space="preserve"> The </w:t>
      </w:r>
      <w:proofErr w:type="spellStart"/>
      <w:r w:rsidR="00557B18" w:rsidRPr="00505C99">
        <w:rPr>
          <w:sz w:val="24"/>
          <w:szCs w:val="24"/>
        </w:rPr>
        <w:t>Utena</w:t>
      </w:r>
      <w:proofErr w:type="spellEnd"/>
      <w:r w:rsidR="00557B18" w:rsidRPr="00505C99">
        <w:rPr>
          <w:sz w:val="24"/>
          <w:szCs w:val="24"/>
        </w:rPr>
        <w:t xml:space="preserve"> District Court made a final contact order on 26 June 2012 which still allowed the father significant in person access in Lithuania even though it understood that there had been no contact between him and the child since June 2010.</w:t>
      </w:r>
      <w:r w:rsidR="00557B18" w:rsidRPr="00505C99">
        <w:rPr>
          <w:rStyle w:val="FootnoteReference"/>
          <w:sz w:val="24"/>
          <w:szCs w:val="24"/>
        </w:rPr>
        <w:footnoteReference w:id="80"/>
      </w:r>
      <w:r w:rsidR="00557B18" w:rsidRPr="00505C99">
        <w:rPr>
          <w:sz w:val="24"/>
          <w:szCs w:val="24"/>
        </w:rPr>
        <w:t xml:space="preserve">  The father’s appeals against this order were out of time and his request to reopen the proceedings were dismissed by the Regional Court on 4 March 2014 and by the Supreme Court on 12 May 2014.</w:t>
      </w:r>
      <w:r w:rsidR="00557B18" w:rsidRPr="00505C99">
        <w:rPr>
          <w:rStyle w:val="FootnoteReference"/>
          <w:sz w:val="24"/>
          <w:szCs w:val="24"/>
        </w:rPr>
        <w:footnoteReference w:id="81"/>
      </w:r>
    </w:p>
    <w:p w14:paraId="41759348" w14:textId="77777777" w:rsidR="000E3D05" w:rsidRPr="00505C99" w:rsidRDefault="000E3D05" w:rsidP="00505C99">
      <w:pPr>
        <w:spacing w:line="360" w:lineRule="auto"/>
        <w:jc w:val="both"/>
        <w:rPr>
          <w:sz w:val="24"/>
          <w:szCs w:val="24"/>
        </w:rPr>
      </w:pPr>
    </w:p>
    <w:p w14:paraId="56A01230" w14:textId="5EB533E4" w:rsidR="000E3D05" w:rsidRPr="00505C99" w:rsidRDefault="000E3D05" w:rsidP="00505C99">
      <w:pPr>
        <w:spacing w:line="360" w:lineRule="auto"/>
        <w:jc w:val="both"/>
        <w:rPr>
          <w:sz w:val="24"/>
          <w:szCs w:val="24"/>
        </w:rPr>
      </w:pPr>
      <w:r w:rsidRPr="00505C99">
        <w:rPr>
          <w:sz w:val="24"/>
          <w:szCs w:val="24"/>
        </w:rPr>
        <w:t xml:space="preserve">The Second Section of the ECtHR accepted that under Brussels </w:t>
      </w:r>
      <w:proofErr w:type="spellStart"/>
      <w:r w:rsidRPr="00505C99">
        <w:rPr>
          <w:sz w:val="24"/>
          <w:szCs w:val="24"/>
        </w:rPr>
        <w:t>IIa</w:t>
      </w:r>
      <w:proofErr w:type="spellEnd"/>
      <w:r w:rsidRPr="00505C99">
        <w:rPr>
          <w:sz w:val="24"/>
          <w:szCs w:val="24"/>
        </w:rPr>
        <w:t xml:space="preserve"> jurisdiction had passed to the Lithuanian courts to decide on contact issues three months after the mother moved permanently with the son from the UK to Lithuania in July 2010</w:t>
      </w:r>
      <w:r w:rsidR="0046350B" w:rsidRPr="00505C99">
        <w:rPr>
          <w:sz w:val="24"/>
          <w:szCs w:val="24"/>
        </w:rPr>
        <w:t xml:space="preserve"> and that therefore the Lithuanian courts had jurisdiction when the mother addressed her request to them in December 2010.</w:t>
      </w:r>
      <w:r w:rsidR="0046350B" w:rsidRPr="00505C99">
        <w:rPr>
          <w:rStyle w:val="FootnoteReference"/>
          <w:sz w:val="24"/>
          <w:szCs w:val="24"/>
        </w:rPr>
        <w:footnoteReference w:id="82"/>
      </w:r>
      <w:r w:rsidRPr="00505C99">
        <w:rPr>
          <w:sz w:val="24"/>
          <w:szCs w:val="24"/>
        </w:rPr>
        <w:t xml:space="preserve"> </w:t>
      </w:r>
      <w:r w:rsidR="00DC36AA" w:rsidRPr="00505C99">
        <w:rPr>
          <w:sz w:val="24"/>
          <w:szCs w:val="24"/>
        </w:rPr>
        <w:t xml:space="preserve">However the majority of the Court (five judges) went on to conclude that the </w:t>
      </w:r>
      <w:r w:rsidR="00831183" w:rsidRPr="00505C99">
        <w:rPr>
          <w:sz w:val="24"/>
          <w:szCs w:val="24"/>
        </w:rPr>
        <w:t xml:space="preserve">way in which the State officials, the bailiff, the father’s court appointed lawyer and the </w:t>
      </w:r>
      <w:proofErr w:type="spellStart"/>
      <w:r w:rsidR="00831183" w:rsidRPr="00505C99">
        <w:rPr>
          <w:sz w:val="24"/>
          <w:szCs w:val="24"/>
        </w:rPr>
        <w:t>Utena</w:t>
      </w:r>
      <w:proofErr w:type="spellEnd"/>
      <w:r w:rsidR="00831183" w:rsidRPr="00505C99">
        <w:rPr>
          <w:sz w:val="24"/>
          <w:szCs w:val="24"/>
        </w:rPr>
        <w:t xml:space="preserve"> District Court had handled the decision-making in relation to altering the father’s contact arrangements was a violation of his Article 8 ECHR rights to family life because the decision </w:t>
      </w:r>
      <w:r w:rsidR="00341E36" w:rsidRPr="00505C99">
        <w:rPr>
          <w:sz w:val="24"/>
          <w:szCs w:val="24"/>
        </w:rPr>
        <w:t xml:space="preserve">was taken </w:t>
      </w:r>
      <w:r w:rsidR="00831183" w:rsidRPr="00505C99">
        <w:rPr>
          <w:sz w:val="24"/>
          <w:szCs w:val="24"/>
        </w:rPr>
        <w:t>without ensuring</w:t>
      </w:r>
      <w:r w:rsidR="00597327">
        <w:rPr>
          <w:sz w:val="24"/>
          <w:szCs w:val="24"/>
        </w:rPr>
        <w:t>,</w:t>
      </w:r>
      <w:r w:rsidR="00831183" w:rsidRPr="00505C99">
        <w:rPr>
          <w:sz w:val="24"/>
          <w:szCs w:val="24"/>
        </w:rPr>
        <w:t xml:space="preserve"> in the case of the first two</w:t>
      </w:r>
      <w:r w:rsidR="00597327">
        <w:rPr>
          <w:sz w:val="24"/>
          <w:szCs w:val="24"/>
        </w:rPr>
        <w:t>,</w:t>
      </w:r>
      <w:r w:rsidR="00831183" w:rsidRPr="00505C99">
        <w:rPr>
          <w:sz w:val="24"/>
          <w:szCs w:val="24"/>
        </w:rPr>
        <w:t xml:space="preserve"> that the father’s position was put forward properly</w:t>
      </w:r>
      <w:r w:rsidR="00597327">
        <w:rPr>
          <w:sz w:val="24"/>
          <w:szCs w:val="24"/>
        </w:rPr>
        <w:t>,</w:t>
      </w:r>
      <w:r w:rsidR="00831183" w:rsidRPr="00505C99">
        <w:rPr>
          <w:sz w:val="24"/>
          <w:szCs w:val="24"/>
        </w:rPr>
        <w:t xml:space="preserve"> and in the case of the court that the father was heard. They awarded him 7000 Euros in non-pecuniary damages but did not even try to insist that the father be given contact with his son outside Lithuania. </w:t>
      </w:r>
    </w:p>
    <w:p w14:paraId="55E69DE4" w14:textId="77777777" w:rsidR="00831183" w:rsidRPr="00505C99" w:rsidRDefault="00831183" w:rsidP="00505C99">
      <w:pPr>
        <w:spacing w:line="360" w:lineRule="auto"/>
        <w:rPr>
          <w:sz w:val="24"/>
          <w:szCs w:val="24"/>
        </w:rPr>
      </w:pPr>
    </w:p>
    <w:p w14:paraId="0B442799" w14:textId="77777777" w:rsidR="00831183" w:rsidRPr="00505C99" w:rsidRDefault="00831183" w:rsidP="00505C99">
      <w:pPr>
        <w:spacing w:line="360" w:lineRule="auto"/>
        <w:jc w:val="both"/>
        <w:rPr>
          <w:sz w:val="24"/>
          <w:szCs w:val="24"/>
        </w:rPr>
      </w:pPr>
      <w:r w:rsidRPr="00505C99">
        <w:rPr>
          <w:sz w:val="24"/>
          <w:szCs w:val="24"/>
        </w:rPr>
        <w:t>The minority of two judges said there was no violation of Article 8 ECHR because the father had not exhausted his domestic remedies</w:t>
      </w:r>
      <w:r w:rsidR="00807C55" w:rsidRPr="00505C99">
        <w:rPr>
          <w:sz w:val="24"/>
          <w:szCs w:val="24"/>
        </w:rPr>
        <w:t xml:space="preserve"> due to the fact that he did not appeal on time in relation to three different Lithuanian orders. They also decided that there had been no violation of the State’s positive obligations to enforce the English contact order because it had been replaced by the interim contact order in Lithuania by 1 March 2011. Strangely</w:t>
      </w:r>
      <w:r w:rsidR="003B271E" w:rsidRPr="00505C99">
        <w:rPr>
          <w:sz w:val="24"/>
          <w:szCs w:val="24"/>
        </w:rPr>
        <w:t>,</w:t>
      </w:r>
      <w:r w:rsidR="00807C55" w:rsidRPr="00505C99">
        <w:rPr>
          <w:sz w:val="24"/>
          <w:szCs w:val="24"/>
        </w:rPr>
        <w:t xml:space="preserve"> the minority did not really address the majority’s concern that Lithuania had failed to ensure that the father was heard by the Lithuanian courts before altering his contact arrangements instead noting that the father had not contacted his son in Lithuania despite having the right to do so under the interim and final Lithuanian orders.</w:t>
      </w:r>
      <w:r w:rsidR="00807C55" w:rsidRPr="00505C99">
        <w:rPr>
          <w:rStyle w:val="FootnoteReference"/>
          <w:sz w:val="24"/>
          <w:szCs w:val="24"/>
        </w:rPr>
        <w:footnoteReference w:id="83"/>
      </w:r>
      <w:r w:rsidR="00807C55" w:rsidRPr="00505C99">
        <w:rPr>
          <w:sz w:val="24"/>
          <w:szCs w:val="24"/>
        </w:rPr>
        <w:t xml:space="preserve"> </w:t>
      </w:r>
    </w:p>
    <w:p w14:paraId="50AFBE0C" w14:textId="77777777" w:rsidR="00807C55" w:rsidRPr="00505C99" w:rsidRDefault="00807C55" w:rsidP="00505C99">
      <w:pPr>
        <w:spacing w:line="360" w:lineRule="auto"/>
        <w:jc w:val="both"/>
        <w:rPr>
          <w:sz w:val="24"/>
          <w:szCs w:val="24"/>
        </w:rPr>
      </w:pPr>
    </w:p>
    <w:p w14:paraId="011AA54F" w14:textId="20F04D98" w:rsidR="00807C55" w:rsidRPr="00505C99" w:rsidRDefault="00807C55" w:rsidP="00505C99">
      <w:pPr>
        <w:spacing w:line="360" w:lineRule="auto"/>
        <w:jc w:val="both"/>
        <w:rPr>
          <w:sz w:val="24"/>
          <w:szCs w:val="24"/>
        </w:rPr>
      </w:pPr>
      <w:r w:rsidRPr="00505C99">
        <w:rPr>
          <w:sz w:val="24"/>
          <w:szCs w:val="24"/>
        </w:rPr>
        <w:t xml:space="preserve">This is a very sad saga but it does seem to illustrate the futility of making access orders automatically enforceable under Article 41 of Brussels </w:t>
      </w:r>
      <w:proofErr w:type="spellStart"/>
      <w:r w:rsidRPr="00505C99">
        <w:rPr>
          <w:sz w:val="24"/>
          <w:szCs w:val="24"/>
        </w:rPr>
        <w:t>IIa</w:t>
      </w:r>
      <w:proofErr w:type="spellEnd"/>
      <w:r w:rsidRPr="00505C99">
        <w:rPr>
          <w:sz w:val="24"/>
          <w:szCs w:val="24"/>
        </w:rPr>
        <w:t xml:space="preserve"> when they can be changed by the courts of the </w:t>
      </w:r>
      <w:r w:rsidR="00BF60DC">
        <w:rPr>
          <w:sz w:val="24"/>
          <w:szCs w:val="24"/>
        </w:rPr>
        <w:t>child’s new habitual residence three</w:t>
      </w:r>
      <w:r w:rsidRPr="00505C99">
        <w:rPr>
          <w:sz w:val="24"/>
          <w:szCs w:val="24"/>
        </w:rPr>
        <w:t xml:space="preserve"> months after the child arrives there. </w:t>
      </w:r>
      <w:r w:rsidR="005E2225" w:rsidRPr="00505C99">
        <w:rPr>
          <w:sz w:val="24"/>
          <w:szCs w:val="24"/>
        </w:rPr>
        <w:t>I</w:t>
      </w:r>
      <w:r w:rsidRPr="00505C99">
        <w:rPr>
          <w:sz w:val="24"/>
          <w:szCs w:val="24"/>
        </w:rPr>
        <w:t xml:space="preserve">n this case the ECtHR were not able to identify a failure to enforce the English order within that </w:t>
      </w:r>
      <w:r w:rsidR="005E2225" w:rsidRPr="00505C99">
        <w:rPr>
          <w:sz w:val="24"/>
          <w:szCs w:val="24"/>
        </w:rPr>
        <w:t>three month window (the chil</w:t>
      </w:r>
      <w:r w:rsidR="00BF60DC">
        <w:rPr>
          <w:sz w:val="24"/>
          <w:szCs w:val="24"/>
        </w:rPr>
        <w:t>d was already in Lithuania for three</w:t>
      </w:r>
      <w:r w:rsidR="005E2225" w:rsidRPr="00505C99">
        <w:rPr>
          <w:sz w:val="24"/>
          <w:szCs w:val="24"/>
        </w:rPr>
        <w:t xml:space="preserve"> months by October 2010) or even in this case by the time of the Lithuanian court having changed the English order on an interim basis on 1 March 2011 to rule out contact outside of Lithuania.  The majority only found a violation of the ECHR on the basis of the way the State treated the father in the proceedings in Lithuania changing his contact arrangements.</w:t>
      </w:r>
    </w:p>
    <w:p w14:paraId="76447E18" w14:textId="77777777" w:rsidR="00FC4B08" w:rsidRPr="00505C99" w:rsidRDefault="00FC4B08" w:rsidP="00505C99">
      <w:pPr>
        <w:spacing w:line="360" w:lineRule="auto"/>
        <w:jc w:val="both"/>
        <w:rPr>
          <w:sz w:val="24"/>
          <w:szCs w:val="24"/>
        </w:rPr>
      </w:pPr>
    </w:p>
    <w:p w14:paraId="3CA659FA" w14:textId="77777777" w:rsidR="00FC4B08" w:rsidRPr="00505C99" w:rsidRDefault="00FC4B08" w:rsidP="00505C99">
      <w:pPr>
        <w:spacing w:line="360" w:lineRule="auto"/>
        <w:jc w:val="both"/>
        <w:rPr>
          <w:sz w:val="24"/>
          <w:szCs w:val="24"/>
        </w:rPr>
      </w:pPr>
      <w:r w:rsidRPr="00505C99">
        <w:rPr>
          <w:sz w:val="24"/>
          <w:szCs w:val="24"/>
        </w:rPr>
        <w:t xml:space="preserve">It seems that </w:t>
      </w:r>
      <w:proofErr w:type="gramStart"/>
      <w:r w:rsidRPr="00505C99">
        <w:rPr>
          <w:sz w:val="24"/>
          <w:szCs w:val="24"/>
        </w:rPr>
        <w:t>the</w:t>
      </w:r>
      <w:proofErr w:type="gramEnd"/>
      <w:r w:rsidRPr="00505C99">
        <w:rPr>
          <w:sz w:val="24"/>
          <w:szCs w:val="24"/>
        </w:rPr>
        <w:t xml:space="preserve"> Hague 1996 system</w:t>
      </w:r>
      <w:r w:rsidR="00F80FDD" w:rsidRPr="00505C99">
        <w:rPr>
          <w:sz w:val="24"/>
          <w:szCs w:val="24"/>
        </w:rPr>
        <w:t>,</w:t>
      </w:r>
      <w:r w:rsidRPr="00505C99">
        <w:rPr>
          <w:sz w:val="24"/>
          <w:szCs w:val="24"/>
        </w:rPr>
        <w:t xml:space="preserve"> with no special continuation of jurisdiction for the courts of the former habitual residence for access cases </w:t>
      </w:r>
      <w:r w:rsidR="00F80FDD" w:rsidRPr="00505C99">
        <w:rPr>
          <w:sz w:val="24"/>
          <w:szCs w:val="24"/>
        </w:rPr>
        <w:t>(</w:t>
      </w:r>
      <w:r w:rsidRPr="00505C99">
        <w:rPr>
          <w:sz w:val="24"/>
          <w:szCs w:val="24"/>
        </w:rPr>
        <w:t>Article 9</w:t>
      </w:r>
      <w:r w:rsidR="00F80FDD" w:rsidRPr="00505C99">
        <w:rPr>
          <w:sz w:val="24"/>
          <w:szCs w:val="24"/>
        </w:rPr>
        <w:t>)</w:t>
      </w:r>
      <w:r w:rsidRPr="00505C99">
        <w:rPr>
          <w:sz w:val="24"/>
          <w:szCs w:val="24"/>
        </w:rPr>
        <w:t xml:space="preserve"> and no automatic enforcement of access rights</w:t>
      </w:r>
      <w:r w:rsidR="00F80FDD" w:rsidRPr="00505C99">
        <w:rPr>
          <w:sz w:val="24"/>
          <w:szCs w:val="24"/>
        </w:rPr>
        <w:t xml:space="preserve"> (Article 41)</w:t>
      </w:r>
      <w:r w:rsidRPr="00505C99">
        <w:rPr>
          <w:sz w:val="24"/>
          <w:szCs w:val="24"/>
        </w:rPr>
        <w:t xml:space="preserve"> as provided by Brussels </w:t>
      </w:r>
      <w:proofErr w:type="spellStart"/>
      <w:r w:rsidRPr="00505C99">
        <w:rPr>
          <w:sz w:val="24"/>
          <w:szCs w:val="24"/>
        </w:rPr>
        <w:t>IIa</w:t>
      </w:r>
      <w:proofErr w:type="spellEnd"/>
      <w:r w:rsidR="00F80FDD" w:rsidRPr="00505C99">
        <w:rPr>
          <w:sz w:val="24"/>
          <w:szCs w:val="24"/>
        </w:rPr>
        <w:t>,</w:t>
      </w:r>
      <w:r w:rsidRPr="00505C99">
        <w:rPr>
          <w:sz w:val="24"/>
          <w:szCs w:val="24"/>
        </w:rPr>
        <w:t xml:space="preserve"> is a more realistic system.</w:t>
      </w:r>
      <w:r w:rsidR="00FE665B" w:rsidRPr="00505C99">
        <w:rPr>
          <w:rStyle w:val="FootnoteReference"/>
          <w:sz w:val="24"/>
          <w:szCs w:val="24"/>
        </w:rPr>
        <w:footnoteReference w:id="84"/>
      </w:r>
      <w:r w:rsidRPr="00505C99">
        <w:rPr>
          <w:sz w:val="24"/>
          <w:szCs w:val="24"/>
        </w:rPr>
        <w:t xml:space="preserve"> No false hope is created </w:t>
      </w:r>
      <w:r w:rsidR="00D41BD6" w:rsidRPr="00505C99">
        <w:rPr>
          <w:sz w:val="24"/>
          <w:szCs w:val="24"/>
        </w:rPr>
        <w:t xml:space="preserve">because it is understood that </w:t>
      </w:r>
      <w:r w:rsidRPr="00505C99">
        <w:rPr>
          <w:sz w:val="24"/>
          <w:szCs w:val="24"/>
        </w:rPr>
        <w:t>the courts where the non-custodial parent lives</w:t>
      </w:r>
      <w:r w:rsidR="009043CF" w:rsidRPr="00505C99">
        <w:rPr>
          <w:sz w:val="24"/>
          <w:szCs w:val="24"/>
        </w:rPr>
        <w:t xml:space="preserve"> </w:t>
      </w:r>
      <w:r w:rsidR="00D41BD6" w:rsidRPr="00505C99">
        <w:rPr>
          <w:sz w:val="24"/>
          <w:szCs w:val="24"/>
        </w:rPr>
        <w:t>cannot</w:t>
      </w:r>
      <w:r w:rsidR="009043CF" w:rsidRPr="00505C99">
        <w:rPr>
          <w:sz w:val="24"/>
          <w:szCs w:val="24"/>
        </w:rPr>
        <w:t xml:space="preserve"> determine what will happen to contact arrangements for that parent once the child has been allowed to lawfully relocate to another State. </w:t>
      </w:r>
    </w:p>
    <w:p w14:paraId="54D6A98E" w14:textId="77777777" w:rsidR="00B0340A" w:rsidRPr="00505C99" w:rsidRDefault="00B0340A" w:rsidP="00505C99">
      <w:pPr>
        <w:spacing w:line="360" w:lineRule="auto"/>
        <w:jc w:val="both"/>
        <w:rPr>
          <w:sz w:val="24"/>
          <w:szCs w:val="24"/>
        </w:rPr>
      </w:pPr>
    </w:p>
    <w:p w14:paraId="4A338F57" w14:textId="503C3190" w:rsidR="00B0340A" w:rsidRPr="00505C99" w:rsidRDefault="00B0340A" w:rsidP="00505C99">
      <w:pPr>
        <w:spacing w:line="360" w:lineRule="auto"/>
        <w:jc w:val="both"/>
        <w:rPr>
          <w:sz w:val="24"/>
          <w:szCs w:val="24"/>
        </w:rPr>
      </w:pPr>
      <w:r w:rsidRPr="00505C99">
        <w:rPr>
          <w:sz w:val="24"/>
          <w:szCs w:val="24"/>
        </w:rPr>
        <w:t xml:space="preserve">Brussels </w:t>
      </w:r>
      <w:proofErr w:type="spellStart"/>
      <w:r w:rsidRPr="00505C99">
        <w:rPr>
          <w:sz w:val="24"/>
          <w:szCs w:val="24"/>
        </w:rPr>
        <w:t>IIa</w:t>
      </w:r>
      <w:proofErr w:type="spellEnd"/>
      <w:r w:rsidRPr="00505C99">
        <w:rPr>
          <w:sz w:val="24"/>
          <w:szCs w:val="24"/>
        </w:rPr>
        <w:t xml:space="preserve"> has different recognition and enforcement of judgments regimes for parental responsibility and access whereas Hague 1996 has the same regime for both. The Commission’s Proposal for the Recast of Brussels </w:t>
      </w:r>
      <w:proofErr w:type="spellStart"/>
      <w:r w:rsidRPr="00505C99">
        <w:rPr>
          <w:sz w:val="24"/>
          <w:szCs w:val="24"/>
        </w:rPr>
        <w:t>IIa</w:t>
      </w:r>
      <w:proofErr w:type="spellEnd"/>
      <w:r w:rsidRPr="00505C99">
        <w:rPr>
          <w:sz w:val="24"/>
          <w:szCs w:val="24"/>
        </w:rPr>
        <w:t xml:space="preserve"> plans to bring the two EU regimes </w:t>
      </w:r>
      <w:r w:rsidR="004F4DCF" w:rsidRPr="00505C99">
        <w:rPr>
          <w:sz w:val="24"/>
          <w:szCs w:val="24"/>
        </w:rPr>
        <w:t xml:space="preserve">a little closer </w:t>
      </w:r>
      <w:r w:rsidRPr="00505C99">
        <w:rPr>
          <w:sz w:val="24"/>
          <w:szCs w:val="24"/>
        </w:rPr>
        <w:t xml:space="preserve">together in a compromise between the two existing regimes.  </w:t>
      </w:r>
      <w:r w:rsidR="00372E28" w:rsidRPr="00505C99">
        <w:rPr>
          <w:sz w:val="24"/>
          <w:szCs w:val="24"/>
        </w:rPr>
        <w:t>A</w:t>
      </w:r>
      <w:r w:rsidRPr="00505C99">
        <w:rPr>
          <w:sz w:val="24"/>
          <w:szCs w:val="24"/>
        </w:rPr>
        <w:t>t present in the EU</w:t>
      </w:r>
      <w:r w:rsidR="00372E28" w:rsidRPr="00505C99">
        <w:rPr>
          <w:sz w:val="24"/>
          <w:szCs w:val="24"/>
        </w:rPr>
        <w:t>,</w:t>
      </w:r>
      <w:r w:rsidRPr="00505C99">
        <w:rPr>
          <w:sz w:val="24"/>
          <w:szCs w:val="24"/>
        </w:rPr>
        <w:t xml:space="preserve"> enforceable judgments given in one EU Member State in relation to rights of access which are certified in accordance with Article 41 of Brussels </w:t>
      </w:r>
      <w:proofErr w:type="spellStart"/>
      <w:r w:rsidRPr="00505C99">
        <w:rPr>
          <w:sz w:val="24"/>
          <w:szCs w:val="24"/>
        </w:rPr>
        <w:t>IIa</w:t>
      </w:r>
      <w:proofErr w:type="spellEnd"/>
      <w:r w:rsidRPr="00505C99">
        <w:rPr>
          <w:sz w:val="24"/>
          <w:szCs w:val="24"/>
        </w:rPr>
        <w:t xml:space="preserve"> are enforceable automatically in all other EU Member States (apart from Denmark)</w:t>
      </w:r>
      <w:r w:rsidR="004F4DCF" w:rsidRPr="00505C99">
        <w:rPr>
          <w:sz w:val="24"/>
          <w:szCs w:val="24"/>
        </w:rPr>
        <w:t xml:space="preserve"> with no grounds for refusing enforcement</w:t>
      </w:r>
      <w:r w:rsidRPr="00505C99">
        <w:rPr>
          <w:sz w:val="24"/>
          <w:szCs w:val="24"/>
        </w:rPr>
        <w:t xml:space="preserve">. Under the Commission’s Proposal it will be possible at the enforcement stage to </w:t>
      </w:r>
      <w:r w:rsidR="004F4DCF" w:rsidRPr="00505C99">
        <w:rPr>
          <w:sz w:val="24"/>
          <w:szCs w:val="24"/>
        </w:rPr>
        <w:t>object to enforcement of an access order on the same basis as a child abduction override return order</w:t>
      </w:r>
      <w:r w:rsidR="00372E28" w:rsidRPr="00505C99">
        <w:rPr>
          <w:sz w:val="24"/>
          <w:szCs w:val="24"/>
        </w:rPr>
        <w:t>,</w:t>
      </w:r>
      <w:r w:rsidR="004F4DCF" w:rsidRPr="00505C99">
        <w:rPr>
          <w:sz w:val="24"/>
          <w:szCs w:val="24"/>
        </w:rPr>
        <w:t xml:space="preserve"> </w:t>
      </w:r>
      <w:proofErr w:type="spellStart"/>
      <w:r w:rsidR="004F4DCF" w:rsidRPr="00505C99">
        <w:rPr>
          <w:sz w:val="24"/>
          <w:szCs w:val="24"/>
        </w:rPr>
        <w:t>ie</w:t>
      </w:r>
      <w:proofErr w:type="spellEnd"/>
      <w:r w:rsidR="004F4DCF" w:rsidRPr="00505C99">
        <w:rPr>
          <w:sz w:val="24"/>
          <w:szCs w:val="24"/>
        </w:rPr>
        <w:t xml:space="preserve"> that is irreconcilable with certain later decisions on parental responsibility</w:t>
      </w:r>
      <w:r w:rsidR="00927912" w:rsidRPr="00505C99">
        <w:rPr>
          <w:sz w:val="24"/>
          <w:szCs w:val="24"/>
        </w:rPr>
        <w:t xml:space="preserve"> or:</w:t>
      </w:r>
    </w:p>
    <w:p w14:paraId="370EE5E1" w14:textId="77777777" w:rsidR="00927912" w:rsidRPr="00505C99" w:rsidRDefault="00927912" w:rsidP="00505C99">
      <w:pPr>
        <w:spacing w:line="360" w:lineRule="auto"/>
        <w:jc w:val="both"/>
        <w:rPr>
          <w:sz w:val="24"/>
          <w:szCs w:val="24"/>
        </w:rPr>
      </w:pPr>
    </w:p>
    <w:p w14:paraId="5195CA72" w14:textId="77777777" w:rsidR="00927912" w:rsidRPr="00505C99" w:rsidRDefault="00927912" w:rsidP="00505C99">
      <w:pPr>
        <w:spacing w:line="360" w:lineRule="auto"/>
        <w:ind w:left="720"/>
        <w:jc w:val="both"/>
        <w:rPr>
          <w:sz w:val="24"/>
          <w:szCs w:val="24"/>
        </w:rPr>
      </w:pPr>
      <w:proofErr w:type="gramStart"/>
      <w:r w:rsidRPr="00505C99">
        <w:rPr>
          <w:sz w:val="24"/>
          <w:szCs w:val="24"/>
        </w:rPr>
        <w:t>where</w:t>
      </w:r>
      <w:proofErr w:type="gramEnd"/>
      <w:r w:rsidRPr="00505C99">
        <w:rPr>
          <w:sz w:val="24"/>
          <w:szCs w:val="24"/>
        </w:rPr>
        <w:t>, by virtue of a change of circumstances since the decision was given, the enforcement would be manifestly contrary to the public policy of the Member State of enforcement because one of the following grounds exists:</w:t>
      </w:r>
    </w:p>
    <w:p w14:paraId="405F0599" w14:textId="5066A6E6" w:rsidR="00927912" w:rsidRPr="00505C99" w:rsidRDefault="00927912" w:rsidP="00BF60DC">
      <w:pPr>
        <w:spacing w:line="360" w:lineRule="auto"/>
        <w:ind w:left="1440"/>
        <w:jc w:val="both"/>
        <w:rPr>
          <w:sz w:val="24"/>
          <w:szCs w:val="24"/>
        </w:rPr>
      </w:pPr>
      <w:r w:rsidRPr="00505C99">
        <w:rPr>
          <w:sz w:val="24"/>
          <w:szCs w:val="24"/>
        </w:rPr>
        <w:t xml:space="preserve">(a) </w:t>
      </w:r>
      <w:proofErr w:type="gramStart"/>
      <w:r w:rsidRPr="00505C99">
        <w:rPr>
          <w:sz w:val="24"/>
          <w:szCs w:val="24"/>
        </w:rPr>
        <w:t>the</w:t>
      </w:r>
      <w:proofErr w:type="gramEnd"/>
      <w:r w:rsidRPr="00505C99">
        <w:rPr>
          <w:sz w:val="24"/>
          <w:szCs w:val="24"/>
        </w:rPr>
        <w:t xml:space="preserve"> child being of sufficient age and maturity now objects to such an extent that the</w:t>
      </w:r>
      <w:r w:rsidR="00BF60DC">
        <w:rPr>
          <w:sz w:val="24"/>
          <w:szCs w:val="24"/>
        </w:rPr>
        <w:t xml:space="preserve"> </w:t>
      </w:r>
      <w:r w:rsidRPr="00505C99">
        <w:rPr>
          <w:sz w:val="24"/>
          <w:szCs w:val="24"/>
        </w:rPr>
        <w:t>enforcement would be manifestly incompatible with the best interests of the child;</w:t>
      </w:r>
    </w:p>
    <w:p w14:paraId="315FCB03" w14:textId="70584212" w:rsidR="00927912" w:rsidRPr="00505C99" w:rsidRDefault="00927912" w:rsidP="00BF60DC">
      <w:pPr>
        <w:spacing w:line="360" w:lineRule="auto"/>
        <w:ind w:left="1440"/>
        <w:jc w:val="both"/>
        <w:rPr>
          <w:sz w:val="24"/>
          <w:szCs w:val="24"/>
        </w:rPr>
      </w:pPr>
      <w:r w:rsidRPr="00505C99">
        <w:rPr>
          <w:sz w:val="24"/>
          <w:szCs w:val="24"/>
        </w:rPr>
        <w:t xml:space="preserve">(b) </w:t>
      </w:r>
      <w:proofErr w:type="gramStart"/>
      <w:r w:rsidRPr="00505C99">
        <w:rPr>
          <w:sz w:val="24"/>
          <w:szCs w:val="24"/>
        </w:rPr>
        <w:t>other</w:t>
      </w:r>
      <w:proofErr w:type="gramEnd"/>
      <w:r w:rsidRPr="00505C99">
        <w:rPr>
          <w:sz w:val="24"/>
          <w:szCs w:val="24"/>
        </w:rPr>
        <w:t xml:space="preserve"> circumstances have changed to such an extent since</w:t>
      </w:r>
      <w:r w:rsidR="00BF60DC">
        <w:rPr>
          <w:sz w:val="24"/>
          <w:szCs w:val="24"/>
        </w:rPr>
        <w:t xml:space="preserve"> the decision was given that its </w:t>
      </w:r>
      <w:r w:rsidRPr="00505C99">
        <w:rPr>
          <w:sz w:val="24"/>
          <w:szCs w:val="24"/>
        </w:rPr>
        <w:t>enforcement would now be manifestly incompatible with the best interests of the child.</w:t>
      </w:r>
      <w:r w:rsidRPr="00505C99">
        <w:rPr>
          <w:rStyle w:val="FootnoteReference"/>
          <w:sz w:val="24"/>
          <w:szCs w:val="24"/>
        </w:rPr>
        <w:footnoteReference w:id="85"/>
      </w:r>
    </w:p>
    <w:p w14:paraId="42FC0CFA" w14:textId="77777777" w:rsidR="00927912" w:rsidRPr="00505C99" w:rsidRDefault="00927912" w:rsidP="00505C99">
      <w:pPr>
        <w:spacing w:line="360" w:lineRule="auto"/>
        <w:ind w:firstLine="720"/>
        <w:jc w:val="both"/>
        <w:rPr>
          <w:sz w:val="24"/>
          <w:szCs w:val="24"/>
        </w:rPr>
      </w:pPr>
    </w:p>
    <w:p w14:paraId="5A8AB952" w14:textId="55EE1BEB" w:rsidR="004F4DCF" w:rsidRPr="00505C99" w:rsidRDefault="00927912" w:rsidP="00505C99">
      <w:pPr>
        <w:spacing w:line="360" w:lineRule="auto"/>
        <w:jc w:val="both"/>
        <w:rPr>
          <w:sz w:val="24"/>
          <w:szCs w:val="24"/>
        </w:rPr>
      </w:pPr>
      <w:r w:rsidRPr="00505C99">
        <w:rPr>
          <w:sz w:val="24"/>
          <w:szCs w:val="24"/>
        </w:rPr>
        <w:t>In</w:t>
      </w:r>
      <w:r w:rsidR="00DF4D5F" w:rsidRPr="00505C99">
        <w:rPr>
          <w:sz w:val="24"/>
          <w:szCs w:val="24"/>
        </w:rPr>
        <w:t xml:space="preserve"> a post-Brexit era, if Hague 1996 replaces Brussels </w:t>
      </w:r>
      <w:proofErr w:type="spellStart"/>
      <w:r w:rsidR="00DF4D5F" w:rsidRPr="00505C99">
        <w:rPr>
          <w:sz w:val="24"/>
          <w:szCs w:val="24"/>
        </w:rPr>
        <w:t>IIa</w:t>
      </w:r>
      <w:proofErr w:type="spellEnd"/>
      <w:r w:rsidR="00DF4D5F" w:rsidRPr="00505C99">
        <w:rPr>
          <w:sz w:val="24"/>
          <w:szCs w:val="24"/>
        </w:rPr>
        <w:t>,</w:t>
      </w:r>
      <w:r w:rsidRPr="00505C99">
        <w:rPr>
          <w:sz w:val="24"/>
          <w:szCs w:val="24"/>
        </w:rPr>
        <w:t xml:space="preserve"> it will in principle be harder to enforce </w:t>
      </w:r>
      <w:r w:rsidR="00DF4D5F" w:rsidRPr="00505C99">
        <w:rPr>
          <w:sz w:val="24"/>
          <w:szCs w:val="24"/>
        </w:rPr>
        <w:t xml:space="preserve">UK </w:t>
      </w:r>
      <w:r w:rsidRPr="00505C99">
        <w:rPr>
          <w:sz w:val="24"/>
          <w:szCs w:val="24"/>
        </w:rPr>
        <w:t>access orders in other EU Member States because all of the Hague 1996 grounds for non-recognition and enforcement come into play but conversely it will become easier in principle for judges in the UK not to enforce access orders</w:t>
      </w:r>
      <w:r w:rsidR="00DF4D5F" w:rsidRPr="00505C99">
        <w:rPr>
          <w:sz w:val="24"/>
          <w:szCs w:val="24"/>
        </w:rPr>
        <w:t xml:space="preserve"> from other EU Member States</w:t>
      </w:r>
      <w:r w:rsidRPr="00505C99">
        <w:rPr>
          <w:sz w:val="24"/>
          <w:szCs w:val="24"/>
        </w:rPr>
        <w:t>.</w:t>
      </w:r>
      <w:r w:rsidR="00616068" w:rsidRPr="00505C99">
        <w:rPr>
          <w:rStyle w:val="FootnoteReference"/>
          <w:sz w:val="24"/>
          <w:szCs w:val="24"/>
        </w:rPr>
        <w:footnoteReference w:id="86"/>
      </w:r>
      <w:r w:rsidRPr="00505C99">
        <w:rPr>
          <w:sz w:val="24"/>
          <w:szCs w:val="24"/>
        </w:rPr>
        <w:t xml:space="preserve"> </w:t>
      </w:r>
      <w:r w:rsidR="00083780" w:rsidRPr="00505C99">
        <w:rPr>
          <w:sz w:val="24"/>
          <w:szCs w:val="24"/>
        </w:rPr>
        <w:t>It has been noted by one English judge interviewed under the EUPILLAR project that even when every effort is made to enforce foreign contact orders</w:t>
      </w:r>
      <w:r w:rsidR="00D446D7" w:rsidRPr="00505C99">
        <w:rPr>
          <w:sz w:val="24"/>
          <w:szCs w:val="24"/>
        </w:rPr>
        <w:t>,</w:t>
      </w:r>
      <w:r w:rsidR="00083780" w:rsidRPr="00505C99">
        <w:rPr>
          <w:sz w:val="24"/>
          <w:szCs w:val="24"/>
        </w:rPr>
        <w:t xml:space="preserve"> because of an inevitable change of circumstances the judge </w:t>
      </w:r>
      <w:r w:rsidR="009F19B6" w:rsidRPr="00505C99">
        <w:rPr>
          <w:sz w:val="24"/>
          <w:szCs w:val="24"/>
        </w:rPr>
        <w:t>‘</w:t>
      </w:r>
      <w:r w:rsidR="00083780" w:rsidRPr="00505C99">
        <w:rPr>
          <w:sz w:val="24"/>
          <w:szCs w:val="24"/>
        </w:rPr>
        <w:t>always</w:t>
      </w:r>
      <w:r w:rsidR="009F19B6" w:rsidRPr="00505C99">
        <w:rPr>
          <w:sz w:val="24"/>
          <w:szCs w:val="24"/>
        </w:rPr>
        <w:t>’</w:t>
      </w:r>
      <w:r w:rsidR="00083780" w:rsidRPr="00505C99">
        <w:rPr>
          <w:sz w:val="24"/>
          <w:szCs w:val="24"/>
        </w:rPr>
        <w:t xml:space="preserve"> has to </w:t>
      </w:r>
      <w:r w:rsidR="009F19B6" w:rsidRPr="00505C99">
        <w:rPr>
          <w:sz w:val="24"/>
          <w:szCs w:val="24"/>
        </w:rPr>
        <w:t>‘</w:t>
      </w:r>
      <w:r w:rsidR="00083780" w:rsidRPr="00505C99">
        <w:rPr>
          <w:sz w:val="24"/>
          <w:szCs w:val="24"/>
        </w:rPr>
        <w:t>change it in some way</w:t>
      </w:r>
      <w:r w:rsidR="009F19B6" w:rsidRPr="00505C99">
        <w:rPr>
          <w:sz w:val="24"/>
          <w:szCs w:val="24"/>
        </w:rPr>
        <w:t>’</w:t>
      </w:r>
      <w:r w:rsidR="00083780" w:rsidRPr="00505C99">
        <w:rPr>
          <w:sz w:val="24"/>
          <w:szCs w:val="24"/>
        </w:rPr>
        <w:t>.</w:t>
      </w:r>
      <w:r w:rsidR="00083780" w:rsidRPr="00505C99">
        <w:rPr>
          <w:rStyle w:val="FootnoteReference"/>
          <w:sz w:val="24"/>
          <w:szCs w:val="24"/>
        </w:rPr>
        <w:footnoteReference w:id="87"/>
      </w:r>
      <w:r w:rsidR="00907823" w:rsidRPr="00505C99">
        <w:rPr>
          <w:sz w:val="24"/>
          <w:szCs w:val="24"/>
        </w:rPr>
        <w:t xml:space="preserve"> This reality </w:t>
      </w:r>
      <w:r w:rsidR="00514D5B" w:rsidRPr="00505C99">
        <w:rPr>
          <w:sz w:val="24"/>
          <w:szCs w:val="24"/>
        </w:rPr>
        <w:t>is better reflected by the less rigid system of Hague 1996.</w:t>
      </w:r>
    </w:p>
    <w:p w14:paraId="16F46B37" w14:textId="77777777" w:rsidR="004F4DCF" w:rsidRPr="00505C99" w:rsidRDefault="004F4DCF" w:rsidP="00505C99">
      <w:pPr>
        <w:spacing w:line="360" w:lineRule="auto"/>
        <w:jc w:val="both"/>
        <w:rPr>
          <w:sz w:val="24"/>
          <w:szCs w:val="24"/>
        </w:rPr>
      </w:pPr>
    </w:p>
    <w:p w14:paraId="39C1CA17" w14:textId="77777777" w:rsidR="00DF0B74" w:rsidRPr="00505C99" w:rsidRDefault="00DF0B74" w:rsidP="00505C99">
      <w:pPr>
        <w:spacing w:line="360" w:lineRule="auto"/>
        <w:jc w:val="both"/>
        <w:rPr>
          <w:sz w:val="24"/>
          <w:szCs w:val="24"/>
        </w:rPr>
      </w:pPr>
    </w:p>
    <w:p w14:paraId="5A72952B" w14:textId="77777777" w:rsidR="005547BA" w:rsidRPr="00505C99" w:rsidRDefault="005547BA" w:rsidP="00505C99">
      <w:pPr>
        <w:spacing w:line="360" w:lineRule="auto"/>
        <w:jc w:val="both"/>
        <w:rPr>
          <w:b/>
          <w:sz w:val="24"/>
          <w:szCs w:val="24"/>
        </w:rPr>
      </w:pPr>
      <w:r w:rsidRPr="00505C99">
        <w:rPr>
          <w:b/>
          <w:sz w:val="24"/>
          <w:szCs w:val="24"/>
        </w:rPr>
        <w:t xml:space="preserve">C </w:t>
      </w:r>
      <w:proofErr w:type="gramStart"/>
      <w:r w:rsidRPr="00505C99">
        <w:rPr>
          <w:b/>
          <w:sz w:val="24"/>
          <w:szCs w:val="24"/>
        </w:rPr>
        <w:t>The</w:t>
      </w:r>
      <w:proofErr w:type="gramEnd"/>
      <w:r w:rsidRPr="00505C99">
        <w:rPr>
          <w:b/>
          <w:sz w:val="24"/>
          <w:szCs w:val="24"/>
        </w:rPr>
        <w:t xml:space="preserve"> EU Maintenance Regulation compared to the Hague Maintenance Convention 2007</w:t>
      </w:r>
    </w:p>
    <w:p w14:paraId="78D17107" w14:textId="77777777" w:rsidR="00DF0B74" w:rsidRPr="00505C99" w:rsidRDefault="00DF0B74" w:rsidP="00505C99">
      <w:pPr>
        <w:spacing w:line="360" w:lineRule="auto"/>
        <w:jc w:val="both"/>
        <w:rPr>
          <w:sz w:val="24"/>
          <w:szCs w:val="24"/>
        </w:rPr>
      </w:pPr>
    </w:p>
    <w:p w14:paraId="15EA14A7" w14:textId="77777777" w:rsidR="00712387" w:rsidRPr="00505C99" w:rsidRDefault="00712387" w:rsidP="00505C99">
      <w:pPr>
        <w:spacing w:line="360" w:lineRule="auto"/>
        <w:jc w:val="both"/>
        <w:rPr>
          <w:sz w:val="24"/>
          <w:szCs w:val="24"/>
        </w:rPr>
      </w:pPr>
      <w:r w:rsidRPr="00505C99">
        <w:rPr>
          <w:sz w:val="24"/>
          <w:szCs w:val="24"/>
        </w:rPr>
        <w:t>In accordance with the best application of the principle of reverse subsidiarity</w:t>
      </w:r>
      <w:r w:rsidR="00896AC3" w:rsidRPr="00505C99">
        <w:rPr>
          <w:sz w:val="24"/>
          <w:szCs w:val="24"/>
        </w:rPr>
        <w:t>,</w:t>
      </w:r>
      <w:r w:rsidRPr="00505C99">
        <w:rPr>
          <w:sz w:val="24"/>
          <w:szCs w:val="24"/>
        </w:rPr>
        <w:t xml:space="preserve"> the EU Maintenance Regulation 2009 was adopted after Hague 2007 was concluded and built on</w:t>
      </w:r>
      <w:r w:rsidR="00896AC3" w:rsidRPr="00505C99">
        <w:rPr>
          <w:sz w:val="24"/>
          <w:szCs w:val="24"/>
        </w:rPr>
        <w:t>,</w:t>
      </w:r>
      <w:r w:rsidRPr="00505C99">
        <w:rPr>
          <w:sz w:val="24"/>
          <w:szCs w:val="24"/>
        </w:rPr>
        <w:t xml:space="preserve"> </w:t>
      </w:r>
      <w:r w:rsidR="00D70A7C" w:rsidRPr="00505C99">
        <w:rPr>
          <w:sz w:val="24"/>
          <w:szCs w:val="24"/>
        </w:rPr>
        <w:t xml:space="preserve">and </w:t>
      </w:r>
      <w:r w:rsidRPr="00505C99">
        <w:rPr>
          <w:sz w:val="24"/>
          <w:szCs w:val="24"/>
        </w:rPr>
        <w:t>affirmed two of the key pillars of the Convention: free legal aid for child support and an effective system of Central Authorities to assist people to obtain cross-border maintenance.</w:t>
      </w:r>
      <w:r w:rsidRPr="00505C99">
        <w:rPr>
          <w:rStyle w:val="FootnoteReference"/>
          <w:sz w:val="24"/>
          <w:szCs w:val="24"/>
        </w:rPr>
        <w:footnoteReference w:id="88"/>
      </w:r>
      <w:r w:rsidRPr="00505C99">
        <w:rPr>
          <w:sz w:val="24"/>
          <w:szCs w:val="24"/>
        </w:rPr>
        <w:t xml:space="preserve"> The Convention and Regulation and their role</w:t>
      </w:r>
      <w:r w:rsidR="00D70A7C" w:rsidRPr="00505C99">
        <w:rPr>
          <w:sz w:val="24"/>
          <w:szCs w:val="24"/>
        </w:rPr>
        <w:t>s</w:t>
      </w:r>
      <w:r w:rsidRPr="00505C99">
        <w:rPr>
          <w:sz w:val="24"/>
          <w:szCs w:val="24"/>
        </w:rPr>
        <w:t xml:space="preserve"> in cross-border recovery of maintenance have been extensively analysed in two books</w:t>
      </w:r>
      <w:r w:rsidR="000020E5" w:rsidRPr="00505C99">
        <w:rPr>
          <w:sz w:val="24"/>
          <w:szCs w:val="24"/>
        </w:rPr>
        <w:t>.</w:t>
      </w:r>
      <w:r w:rsidR="000020E5" w:rsidRPr="00505C99">
        <w:rPr>
          <w:rStyle w:val="FootnoteReference"/>
          <w:sz w:val="24"/>
          <w:szCs w:val="24"/>
        </w:rPr>
        <w:footnoteReference w:id="89"/>
      </w:r>
    </w:p>
    <w:p w14:paraId="50270EED" w14:textId="77777777" w:rsidR="00D70A7C" w:rsidRPr="00505C99" w:rsidRDefault="00D70A7C" w:rsidP="00505C99">
      <w:pPr>
        <w:spacing w:line="360" w:lineRule="auto"/>
        <w:jc w:val="both"/>
        <w:rPr>
          <w:sz w:val="24"/>
          <w:szCs w:val="24"/>
        </w:rPr>
      </w:pPr>
    </w:p>
    <w:p w14:paraId="05748626" w14:textId="096A833C" w:rsidR="00D70A7C" w:rsidRPr="00505C99" w:rsidRDefault="00D70A7C" w:rsidP="00505C99">
      <w:pPr>
        <w:spacing w:line="360" w:lineRule="auto"/>
        <w:jc w:val="both"/>
        <w:rPr>
          <w:sz w:val="24"/>
          <w:szCs w:val="24"/>
        </w:rPr>
      </w:pPr>
      <w:r w:rsidRPr="00505C99">
        <w:rPr>
          <w:sz w:val="24"/>
          <w:szCs w:val="24"/>
        </w:rPr>
        <w:t xml:space="preserve">Post-Brexit the legal systems in the UK (England and Wales, Northern Ireland and Scotland) will be free to determine the rules of jurisdiction that apply to maintenance cases because Hague 2007 only creates indirect rules of jurisdiction. The one exception to this statement is that limitations must be placed on the ability of the maintenance debtor to seek to modify a decision given by the courts of the habitual residence of the </w:t>
      </w:r>
      <w:r w:rsidR="005D0D18" w:rsidRPr="00505C99">
        <w:rPr>
          <w:sz w:val="24"/>
          <w:szCs w:val="24"/>
        </w:rPr>
        <w:t>creditor in any State other than the State where that decision was given</w:t>
      </w:r>
      <w:r w:rsidR="000242A1" w:rsidRPr="00505C99">
        <w:rPr>
          <w:sz w:val="24"/>
          <w:szCs w:val="24"/>
        </w:rPr>
        <w:t>,</w:t>
      </w:r>
      <w:r w:rsidR="005D0D18" w:rsidRPr="00505C99">
        <w:rPr>
          <w:sz w:val="24"/>
          <w:szCs w:val="24"/>
        </w:rPr>
        <w:t xml:space="preserve"> unless the conditions in Article 18 of </w:t>
      </w:r>
      <w:r w:rsidR="00B062DE" w:rsidRPr="00505C99">
        <w:rPr>
          <w:sz w:val="24"/>
          <w:szCs w:val="24"/>
        </w:rPr>
        <w:t>Hague 2007</w:t>
      </w:r>
      <w:r w:rsidR="005D0D18" w:rsidRPr="00505C99">
        <w:rPr>
          <w:sz w:val="24"/>
          <w:szCs w:val="24"/>
        </w:rPr>
        <w:t xml:space="preserve"> are satisfied.</w:t>
      </w:r>
      <w:r w:rsidR="005D0D18" w:rsidRPr="00505C99">
        <w:rPr>
          <w:rStyle w:val="FootnoteReference"/>
          <w:sz w:val="24"/>
          <w:szCs w:val="24"/>
        </w:rPr>
        <w:footnoteReference w:id="90"/>
      </w:r>
      <w:r w:rsidR="00B062DE" w:rsidRPr="00505C99">
        <w:rPr>
          <w:sz w:val="24"/>
          <w:szCs w:val="24"/>
        </w:rPr>
        <w:t xml:space="preserve"> This condition will be satisfied if the jurisdiction rules in the EU Maintenance Regulation are retained as part of the Brexit Great Repeal </w:t>
      </w:r>
      <w:r w:rsidR="00DF4D5F" w:rsidRPr="00505C99">
        <w:rPr>
          <w:sz w:val="24"/>
          <w:szCs w:val="24"/>
        </w:rPr>
        <w:t>Act</w:t>
      </w:r>
      <w:r w:rsidR="00B062DE" w:rsidRPr="00505C99">
        <w:rPr>
          <w:sz w:val="24"/>
          <w:szCs w:val="24"/>
        </w:rPr>
        <w:t>.</w:t>
      </w:r>
      <w:r w:rsidR="00587224" w:rsidRPr="00505C99">
        <w:rPr>
          <w:sz w:val="24"/>
          <w:szCs w:val="24"/>
        </w:rPr>
        <w:t xml:space="preserve"> The opportunity should be taken to abandon a strict </w:t>
      </w:r>
      <w:proofErr w:type="spellStart"/>
      <w:r w:rsidR="00587224" w:rsidRPr="00505C99">
        <w:rPr>
          <w:i/>
          <w:sz w:val="24"/>
          <w:szCs w:val="24"/>
        </w:rPr>
        <w:t>lis</w:t>
      </w:r>
      <w:proofErr w:type="spellEnd"/>
      <w:r w:rsidR="00587224" w:rsidRPr="00505C99">
        <w:rPr>
          <w:i/>
          <w:sz w:val="24"/>
          <w:szCs w:val="24"/>
        </w:rPr>
        <w:t xml:space="preserve"> </w:t>
      </w:r>
      <w:proofErr w:type="spellStart"/>
      <w:r w:rsidR="00587224" w:rsidRPr="00505C99">
        <w:rPr>
          <w:i/>
          <w:sz w:val="24"/>
          <w:szCs w:val="24"/>
        </w:rPr>
        <w:t>pendens</w:t>
      </w:r>
      <w:proofErr w:type="spellEnd"/>
      <w:r w:rsidR="00587224" w:rsidRPr="00505C99">
        <w:rPr>
          <w:sz w:val="24"/>
          <w:szCs w:val="24"/>
        </w:rPr>
        <w:t xml:space="preserve"> system vis-à-vis the EU Member States because, absent a special Brexit deal on the point, it will no longer be reciprocated by the other EU Member States as</w:t>
      </w:r>
      <w:r w:rsidR="000242A1" w:rsidRPr="00505C99">
        <w:rPr>
          <w:sz w:val="24"/>
          <w:szCs w:val="24"/>
        </w:rPr>
        <w:t>,</w:t>
      </w:r>
      <w:r w:rsidR="00587224" w:rsidRPr="00505C99">
        <w:rPr>
          <w:sz w:val="24"/>
          <w:szCs w:val="24"/>
        </w:rPr>
        <w:t xml:space="preserve"> unlike Brussels </w:t>
      </w:r>
      <w:proofErr w:type="spellStart"/>
      <w:r w:rsidR="00587224" w:rsidRPr="00505C99">
        <w:rPr>
          <w:sz w:val="24"/>
          <w:szCs w:val="24"/>
        </w:rPr>
        <w:t>Ia</w:t>
      </w:r>
      <w:proofErr w:type="spellEnd"/>
      <w:r w:rsidR="00587224" w:rsidRPr="00505C99">
        <w:rPr>
          <w:sz w:val="24"/>
          <w:szCs w:val="24"/>
        </w:rPr>
        <w:t xml:space="preserve"> (see Articles 33 and 34)</w:t>
      </w:r>
      <w:r w:rsidR="000242A1" w:rsidRPr="00505C99">
        <w:rPr>
          <w:sz w:val="24"/>
          <w:szCs w:val="24"/>
        </w:rPr>
        <w:t>,</w:t>
      </w:r>
      <w:r w:rsidR="00587224" w:rsidRPr="00505C99">
        <w:rPr>
          <w:sz w:val="24"/>
          <w:szCs w:val="24"/>
        </w:rPr>
        <w:t xml:space="preserve"> the Maintenance Regulation does not have any provisions permitting even the discretionary decline of jurisdiction in favour of a third State court that is first </w:t>
      </w:r>
      <w:proofErr w:type="spellStart"/>
      <w:r w:rsidR="00587224" w:rsidRPr="00505C99">
        <w:rPr>
          <w:sz w:val="24"/>
          <w:szCs w:val="24"/>
        </w:rPr>
        <w:t>seised</w:t>
      </w:r>
      <w:proofErr w:type="spellEnd"/>
      <w:r w:rsidR="00587224" w:rsidRPr="00505C99">
        <w:rPr>
          <w:sz w:val="24"/>
          <w:szCs w:val="24"/>
        </w:rPr>
        <w:t xml:space="preserve"> with the same or a related dispute.</w:t>
      </w:r>
      <w:r w:rsidR="00B67026" w:rsidRPr="00505C99">
        <w:rPr>
          <w:rStyle w:val="FootnoteReference"/>
          <w:sz w:val="24"/>
          <w:szCs w:val="24"/>
        </w:rPr>
        <w:footnoteReference w:id="91"/>
      </w:r>
      <w:r w:rsidR="00587224" w:rsidRPr="00505C99">
        <w:rPr>
          <w:sz w:val="24"/>
          <w:szCs w:val="24"/>
        </w:rPr>
        <w:t xml:space="preserve"> Repealing the </w:t>
      </w:r>
      <w:proofErr w:type="spellStart"/>
      <w:r w:rsidR="00587224" w:rsidRPr="00505C99">
        <w:rPr>
          <w:i/>
          <w:sz w:val="24"/>
          <w:szCs w:val="24"/>
        </w:rPr>
        <w:t>lis</w:t>
      </w:r>
      <w:proofErr w:type="spellEnd"/>
      <w:r w:rsidR="00587224" w:rsidRPr="00505C99">
        <w:rPr>
          <w:i/>
          <w:sz w:val="24"/>
          <w:szCs w:val="24"/>
        </w:rPr>
        <w:t xml:space="preserve"> </w:t>
      </w:r>
      <w:proofErr w:type="spellStart"/>
      <w:r w:rsidR="00587224" w:rsidRPr="00505C99">
        <w:rPr>
          <w:i/>
          <w:sz w:val="24"/>
          <w:szCs w:val="24"/>
        </w:rPr>
        <w:t>pendens</w:t>
      </w:r>
      <w:proofErr w:type="spellEnd"/>
      <w:r w:rsidR="00587224" w:rsidRPr="00505C99">
        <w:rPr>
          <w:sz w:val="24"/>
          <w:szCs w:val="24"/>
        </w:rPr>
        <w:t xml:space="preserve"> rules would mean that the common law discretionary system of </w:t>
      </w:r>
      <w:r w:rsidR="00587224" w:rsidRPr="00505C99">
        <w:rPr>
          <w:i/>
          <w:sz w:val="24"/>
          <w:szCs w:val="24"/>
        </w:rPr>
        <w:t xml:space="preserve">forum non </w:t>
      </w:r>
      <w:proofErr w:type="spellStart"/>
      <w:r w:rsidR="00587224" w:rsidRPr="00505C99">
        <w:rPr>
          <w:i/>
          <w:sz w:val="24"/>
          <w:szCs w:val="24"/>
        </w:rPr>
        <w:t>conveniens</w:t>
      </w:r>
      <w:proofErr w:type="spellEnd"/>
      <w:r w:rsidR="00587224" w:rsidRPr="00505C99">
        <w:rPr>
          <w:sz w:val="24"/>
          <w:szCs w:val="24"/>
        </w:rPr>
        <w:t xml:space="preserve"> would revive.</w:t>
      </w:r>
    </w:p>
    <w:p w14:paraId="624B106E" w14:textId="77777777" w:rsidR="00B062DE" w:rsidRPr="00505C99" w:rsidRDefault="00B062DE" w:rsidP="00505C99">
      <w:pPr>
        <w:spacing w:line="360" w:lineRule="auto"/>
        <w:jc w:val="both"/>
        <w:rPr>
          <w:sz w:val="24"/>
          <w:szCs w:val="24"/>
        </w:rPr>
      </w:pPr>
    </w:p>
    <w:p w14:paraId="74C247BD" w14:textId="77777777" w:rsidR="00B062DE" w:rsidRPr="00505C99" w:rsidRDefault="00B062DE" w:rsidP="00505C99">
      <w:pPr>
        <w:spacing w:line="360" w:lineRule="auto"/>
        <w:jc w:val="both"/>
        <w:rPr>
          <w:sz w:val="24"/>
          <w:szCs w:val="24"/>
        </w:rPr>
      </w:pPr>
      <w:r w:rsidRPr="00505C99">
        <w:rPr>
          <w:sz w:val="24"/>
          <w:szCs w:val="24"/>
        </w:rPr>
        <w:t>In relation to recognition and enforcement of maintenance decisions post-Brexit</w:t>
      </w:r>
      <w:r w:rsidR="000242A1" w:rsidRPr="00505C99">
        <w:rPr>
          <w:sz w:val="24"/>
          <w:szCs w:val="24"/>
        </w:rPr>
        <w:t>,</w:t>
      </w:r>
      <w:r w:rsidR="00EE1DEB" w:rsidRPr="00505C99">
        <w:rPr>
          <w:sz w:val="24"/>
          <w:szCs w:val="24"/>
        </w:rPr>
        <w:t xml:space="preserve"> </w:t>
      </w:r>
      <w:r w:rsidRPr="00505C99">
        <w:rPr>
          <w:sz w:val="24"/>
          <w:szCs w:val="24"/>
        </w:rPr>
        <w:t>unless a deal is reached in the Brexit negotiations for a transitional or permanent bilateral agreement between the UK and EU on maintenance</w:t>
      </w:r>
      <w:r w:rsidR="000242A1" w:rsidRPr="00505C99">
        <w:rPr>
          <w:sz w:val="24"/>
          <w:szCs w:val="24"/>
        </w:rPr>
        <w:t>,</w:t>
      </w:r>
      <w:r w:rsidRPr="00505C99">
        <w:rPr>
          <w:sz w:val="24"/>
          <w:szCs w:val="24"/>
        </w:rPr>
        <w:t xml:space="preserve"> the framework will be Hague 2007. This has some clear advantages for the UK over the continuation of the EU Maintenance Regulation regime. Under the latter</w:t>
      </w:r>
      <w:r w:rsidR="000242A1" w:rsidRPr="00505C99">
        <w:rPr>
          <w:sz w:val="24"/>
          <w:szCs w:val="24"/>
        </w:rPr>
        <w:t>,</w:t>
      </w:r>
      <w:r w:rsidRPr="00505C99">
        <w:rPr>
          <w:sz w:val="24"/>
          <w:szCs w:val="24"/>
        </w:rPr>
        <w:t xml:space="preserve"> UK judgments are subject to an exequatur process in the rest of the EU that is similar to the one provided for by Brussels I</w:t>
      </w:r>
      <w:r w:rsidR="00093562" w:rsidRPr="00505C99">
        <w:rPr>
          <w:sz w:val="24"/>
          <w:szCs w:val="24"/>
        </w:rPr>
        <w:t xml:space="preserve"> before the Recast with some time limits added</w:t>
      </w:r>
      <w:r w:rsidRPr="00505C99">
        <w:rPr>
          <w:sz w:val="24"/>
          <w:szCs w:val="24"/>
        </w:rPr>
        <w:t>.</w:t>
      </w:r>
      <w:r w:rsidRPr="00505C99">
        <w:rPr>
          <w:rStyle w:val="FootnoteReference"/>
          <w:sz w:val="24"/>
          <w:szCs w:val="24"/>
        </w:rPr>
        <w:footnoteReference w:id="92"/>
      </w:r>
      <w:r w:rsidR="003B14B9" w:rsidRPr="00505C99">
        <w:rPr>
          <w:sz w:val="24"/>
          <w:szCs w:val="24"/>
        </w:rPr>
        <w:t xml:space="preserve"> Therefore</w:t>
      </w:r>
      <w:r w:rsidR="000242A1" w:rsidRPr="00505C99">
        <w:rPr>
          <w:sz w:val="24"/>
          <w:szCs w:val="24"/>
        </w:rPr>
        <w:t>,</w:t>
      </w:r>
      <w:r w:rsidR="003B14B9" w:rsidRPr="00505C99">
        <w:rPr>
          <w:sz w:val="24"/>
          <w:szCs w:val="24"/>
        </w:rPr>
        <w:t xml:space="preserve"> there is no review of jurisdiction or of the merits but there is review on the basis of public policy, the rights of the defence being violated due to poor service or the right to a hearing not being respected, and conflicting judgments. The only difference after Brexit would be that the other EU Member States would apply Hague 2007 in relation to maintenance decisions from the UK. This would mean that a review of the jurisdiction exercised by the authorities in the UK would be undertaken to see if it complied with the indirect rules of jurisdiction in Article 20 of Hague 2007. Those indirect rules of jurisdiction are very generous to maintenance creditors because they include the habitual residence of the creditor and the</w:t>
      </w:r>
      <w:r w:rsidR="00EE1DEB" w:rsidRPr="00505C99">
        <w:rPr>
          <w:sz w:val="24"/>
          <w:szCs w:val="24"/>
        </w:rPr>
        <w:t>re will never be an EU</w:t>
      </w:r>
      <w:r w:rsidR="003B14B9" w:rsidRPr="00505C99">
        <w:rPr>
          <w:sz w:val="24"/>
          <w:szCs w:val="24"/>
        </w:rPr>
        <w:t xml:space="preserve"> reservation in relation to that key ground because it is a vital part of the jurisdiction regime in the Maintenance Regulation.  </w:t>
      </w:r>
      <w:r w:rsidR="00985F6F" w:rsidRPr="00505C99">
        <w:rPr>
          <w:sz w:val="24"/>
          <w:szCs w:val="24"/>
        </w:rPr>
        <w:t>T</w:t>
      </w:r>
      <w:r w:rsidR="003B14B9" w:rsidRPr="00505C99">
        <w:rPr>
          <w:sz w:val="24"/>
          <w:szCs w:val="24"/>
        </w:rPr>
        <w:t>here are two more grounds for refusal of recogn</w:t>
      </w:r>
      <w:r w:rsidR="001C5B57" w:rsidRPr="00505C99">
        <w:rPr>
          <w:sz w:val="24"/>
          <w:szCs w:val="24"/>
        </w:rPr>
        <w:t>i</w:t>
      </w:r>
      <w:r w:rsidR="003B14B9" w:rsidRPr="00505C99">
        <w:rPr>
          <w:sz w:val="24"/>
          <w:szCs w:val="24"/>
        </w:rPr>
        <w:t xml:space="preserve">tion and enforcement of a UK maintenance decision that could be invoked under Hague 2007 than </w:t>
      </w:r>
      <w:r w:rsidR="001C5B57" w:rsidRPr="00505C99">
        <w:rPr>
          <w:sz w:val="24"/>
          <w:szCs w:val="24"/>
        </w:rPr>
        <w:t xml:space="preserve">can be invoked </w:t>
      </w:r>
      <w:r w:rsidR="003B14B9" w:rsidRPr="00505C99">
        <w:rPr>
          <w:sz w:val="24"/>
          <w:szCs w:val="24"/>
        </w:rPr>
        <w:t xml:space="preserve">under </w:t>
      </w:r>
      <w:r w:rsidR="001C5B57" w:rsidRPr="00505C99">
        <w:rPr>
          <w:sz w:val="24"/>
          <w:szCs w:val="24"/>
        </w:rPr>
        <w:t xml:space="preserve">the </w:t>
      </w:r>
      <w:r w:rsidR="003B14B9" w:rsidRPr="00505C99">
        <w:rPr>
          <w:sz w:val="24"/>
          <w:szCs w:val="24"/>
        </w:rPr>
        <w:t>EU Maintenance Regu</w:t>
      </w:r>
      <w:r w:rsidR="001C5B57" w:rsidRPr="00505C99">
        <w:rPr>
          <w:sz w:val="24"/>
          <w:szCs w:val="24"/>
        </w:rPr>
        <w:t>l</w:t>
      </w:r>
      <w:r w:rsidR="003B14B9" w:rsidRPr="00505C99">
        <w:rPr>
          <w:sz w:val="24"/>
          <w:szCs w:val="24"/>
        </w:rPr>
        <w:t>ation</w:t>
      </w:r>
      <w:r w:rsidR="001C5B57" w:rsidRPr="00505C99">
        <w:rPr>
          <w:sz w:val="24"/>
          <w:szCs w:val="24"/>
        </w:rPr>
        <w:t xml:space="preserve">. The first of these is that the decision was obtained by fraud in connection with a matter of procedure but this is not a change of substance as such a fraud could be handled under public policy under the EU Maintenance Regulation (as it can in other contexts under Brussels </w:t>
      </w:r>
      <w:proofErr w:type="spellStart"/>
      <w:r w:rsidR="001C5B57" w:rsidRPr="00505C99">
        <w:rPr>
          <w:sz w:val="24"/>
          <w:szCs w:val="24"/>
        </w:rPr>
        <w:t>Ia</w:t>
      </w:r>
      <w:proofErr w:type="spellEnd"/>
      <w:r w:rsidR="001C5B57" w:rsidRPr="00505C99">
        <w:rPr>
          <w:sz w:val="24"/>
          <w:szCs w:val="24"/>
        </w:rPr>
        <w:t>).</w:t>
      </w:r>
      <w:r w:rsidR="001C5B57" w:rsidRPr="00505C99">
        <w:rPr>
          <w:rStyle w:val="FootnoteReference"/>
          <w:sz w:val="24"/>
          <w:szCs w:val="24"/>
        </w:rPr>
        <w:footnoteReference w:id="93"/>
      </w:r>
      <w:r w:rsidR="001C5B57" w:rsidRPr="00505C99">
        <w:rPr>
          <w:sz w:val="24"/>
          <w:szCs w:val="24"/>
        </w:rPr>
        <w:t xml:space="preserve"> The second of these is that the decision was made in violation of Article 18 of Hague 2007 but this should never happen in the UK because our rules of jurisdiction and the careful application of them by judges in the UK should prevent the UK from breaching its international law obligations under Article 18. </w:t>
      </w:r>
      <w:r w:rsidR="003B14B9" w:rsidRPr="00505C99">
        <w:rPr>
          <w:sz w:val="24"/>
          <w:szCs w:val="24"/>
        </w:rPr>
        <w:t>Thus</w:t>
      </w:r>
      <w:r w:rsidR="000242A1" w:rsidRPr="00505C99">
        <w:rPr>
          <w:sz w:val="24"/>
          <w:szCs w:val="24"/>
        </w:rPr>
        <w:t>,</w:t>
      </w:r>
      <w:r w:rsidR="003B14B9" w:rsidRPr="00505C99">
        <w:rPr>
          <w:sz w:val="24"/>
          <w:szCs w:val="24"/>
        </w:rPr>
        <w:t xml:space="preserve"> the weaker party will still be able to sue for maintenance in her own habitual residence in the UK and get the maintenance decision enforced in EU Member States without difficulty.</w:t>
      </w:r>
    </w:p>
    <w:p w14:paraId="5C47208F" w14:textId="77777777" w:rsidR="00942550" w:rsidRPr="00505C99" w:rsidRDefault="00942550" w:rsidP="00505C99">
      <w:pPr>
        <w:spacing w:line="360" w:lineRule="auto"/>
        <w:jc w:val="both"/>
        <w:rPr>
          <w:sz w:val="24"/>
          <w:szCs w:val="24"/>
        </w:rPr>
      </w:pPr>
    </w:p>
    <w:p w14:paraId="2FB8F461" w14:textId="2E37320D" w:rsidR="00942550" w:rsidRPr="00505C99" w:rsidRDefault="00942550" w:rsidP="00505C99">
      <w:pPr>
        <w:spacing w:line="360" w:lineRule="auto"/>
        <w:jc w:val="both"/>
        <w:rPr>
          <w:sz w:val="24"/>
          <w:szCs w:val="24"/>
        </w:rPr>
      </w:pPr>
      <w:r w:rsidRPr="00505C99">
        <w:rPr>
          <w:sz w:val="24"/>
          <w:szCs w:val="24"/>
        </w:rPr>
        <w:t>In relation to maintenance decisions coming from EU Member States to the UK</w:t>
      </w:r>
      <w:r w:rsidR="000242A1" w:rsidRPr="00505C99">
        <w:rPr>
          <w:sz w:val="24"/>
          <w:szCs w:val="24"/>
        </w:rPr>
        <w:t>,</w:t>
      </w:r>
      <w:r w:rsidRPr="00505C99">
        <w:rPr>
          <w:sz w:val="24"/>
          <w:szCs w:val="24"/>
        </w:rPr>
        <w:t xml:space="preserve"> the UK currently has to comply with the Maintenance Regulation which has abolished the exequatur for all maintenance decisions coming from those States (apart from Denmark). It is a radical style of abolition of exequatur where even at the actual enforcement stage the only ground for refusing to enforce a maintenance decision is that it conflicts with another maintenance decision.</w:t>
      </w:r>
      <w:r w:rsidRPr="00505C99">
        <w:rPr>
          <w:rStyle w:val="FootnoteReference"/>
          <w:sz w:val="24"/>
          <w:szCs w:val="24"/>
        </w:rPr>
        <w:footnoteReference w:id="94"/>
      </w:r>
      <w:r w:rsidR="00E73E11" w:rsidRPr="00505C99">
        <w:rPr>
          <w:sz w:val="24"/>
          <w:szCs w:val="24"/>
        </w:rPr>
        <w:t xml:space="preserve">  The reason for the unequal treatment of UK and Danish decisions compared to decisions from other EU Member States is that in the EU only the former States are not party to </w:t>
      </w:r>
      <w:proofErr w:type="gramStart"/>
      <w:r w:rsidR="00E73E11" w:rsidRPr="00505C99">
        <w:rPr>
          <w:sz w:val="24"/>
          <w:szCs w:val="24"/>
        </w:rPr>
        <w:t>the</w:t>
      </w:r>
      <w:proofErr w:type="gramEnd"/>
      <w:r w:rsidR="00E73E11" w:rsidRPr="00505C99">
        <w:rPr>
          <w:sz w:val="24"/>
          <w:szCs w:val="24"/>
        </w:rPr>
        <w:t xml:space="preserve"> Hague Maintenance Protocol of 2007 that harmonises the applicable law rules in relation to maintenance issues.</w:t>
      </w:r>
      <w:r w:rsidR="00E73E11" w:rsidRPr="00505C99">
        <w:rPr>
          <w:rStyle w:val="FootnoteReference"/>
          <w:sz w:val="24"/>
          <w:szCs w:val="24"/>
        </w:rPr>
        <w:footnoteReference w:id="95"/>
      </w:r>
      <w:r w:rsidR="00E73E11" w:rsidRPr="00505C99">
        <w:rPr>
          <w:sz w:val="24"/>
          <w:szCs w:val="24"/>
        </w:rPr>
        <w:t xml:space="preserve"> Thus</w:t>
      </w:r>
      <w:r w:rsidR="000242A1" w:rsidRPr="00505C99">
        <w:rPr>
          <w:sz w:val="24"/>
          <w:szCs w:val="24"/>
        </w:rPr>
        <w:t>,</w:t>
      </w:r>
      <w:r w:rsidR="00E73E11" w:rsidRPr="00505C99">
        <w:rPr>
          <w:sz w:val="24"/>
          <w:szCs w:val="24"/>
        </w:rPr>
        <w:t xml:space="preserve"> </w:t>
      </w:r>
      <w:r w:rsidR="00041AA8" w:rsidRPr="00505C99">
        <w:rPr>
          <w:sz w:val="24"/>
          <w:szCs w:val="24"/>
        </w:rPr>
        <w:t>after Brexit the UK</w:t>
      </w:r>
      <w:r w:rsidR="00E73E11" w:rsidRPr="00505C99">
        <w:rPr>
          <w:sz w:val="24"/>
          <w:szCs w:val="24"/>
        </w:rPr>
        <w:t xml:space="preserve"> will no doubt continue not to be a party to the Hague Maintenance Protocol because as a matter of policy it does not wish to apply foreign law to child and spousal support issues</w:t>
      </w:r>
      <w:r w:rsidR="000242A1" w:rsidRPr="00505C99">
        <w:rPr>
          <w:sz w:val="24"/>
          <w:szCs w:val="24"/>
        </w:rPr>
        <w:t>,</w:t>
      </w:r>
      <w:r w:rsidR="00E73E11" w:rsidRPr="00505C99">
        <w:rPr>
          <w:sz w:val="24"/>
          <w:szCs w:val="24"/>
        </w:rPr>
        <w:t xml:space="preserve"> and because at least in relation to the former of those issues it does not think the extra costs of applying foreign law are justified when dealing with relatively low value claims</w:t>
      </w:r>
      <w:r w:rsidR="00041AA8" w:rsidRPr="00505C99">
        <w:rPr>
          <w:sz w:val="24"/>
          <w:szCs w:val="24"/>
        </w:rPr>
        <w:t>. The UK w</w:t>
      </w:r>
      <w:r w:rsidR="00637D26" w:rsidRPr="00505C99">
        <w:rPr>
          <w:sz w:val="24"/>
          <w:szCs w:val="24"/>
        </w:rPr>
        <w:t>ill</w:t>
      </w:r>
      <w:r w:rsidR="00041AA8" w:rsidRPr="00505C99">
        <w:rPr>
          <w:sz w:val="24"/>
          <w:szCs w:val="24"/>
        </w:rPr>
        <w:t xml:space="preserve"> apply Hague 2007 to the question of whether or not to recognise and enforce a maintenance decision from an EU Member State. Thus</w:t>
      </w:r>
      <w:r w:rsidR="000242A1" w:rsidRPr="00505C99">
        <w:rPr>
          <w:sz w:val="24"/>
          <w:szCs w:val="24"/>
        </w:rPr>
        <w:t>,</w:t>
      </w:r>
      <w:r w:rsidR="00041AA8" w:rsidRPr="00505C99">
        <w:rPr>
          <w:sz w:val="24"/>
          <w:szCs w:val="24"/>
        </w:rPr>
        <w:t xml:space="preserve"> the UK courts could review whether the authority in the requesting State had jurisdiction compatible with the indirect rules of jurisdiction in Article 20</w:t>
      </w:r>
      <w:r w:rsidR="000242A1" w:rsidRPr="00505C99">
        <w:rPr>
          <w:sz w:val="24"/>
          <w:szCs w:val="24"/>
        </w:rPr>
        <w:t>,</w:t>
      </w:r>
      <w:r w:rsidR="00041AA8" w:rsidRPr="00505C99">
        <w:rPr>
          <w:sz w:val="24"/>
          <w:szCs w:val="24"/>
        </w:rPr>
        <w:t xml:space="preserve"> and will be able to refuse recognition and enforcement not only when it is incompatible with a conflicting judgment but also where it is manifestly incompatible with public policy, where the decision was obtained by fraud in connection with a matter of procedure, where proceedings between the same parties and having the same purpose were instituted in the UK first, where the defendant did not have adequate notice of the proceedings</w:t>
      </w:r>
      <w:r w:rsidR="002802B9" w:rsidRPr="00505C99">
        <w:rPr>
          <w:sz w:val="24"/>
          <w:szCs w:val="24"/>
        </w:rPr>
        <w:t xml:space="preserve"> and an opportunity to be heard</w:t>
      </w:r>
      <w:r w:rsidR="006977B8" w:rsidRPr="00505C99">
        <w:rPr>
          <w:sz w:val="24"/>
          <w:szCs w:val="24"/>
        </w:rPr>
        <w:t>,</w:t>
      </w:r>
      <w:r w:rsidR="002802B9" w:rsidRPr="00505C99">
        <w:rPr>
          <w:sz w:val="24"/>
          <w:szCs w:val="24"/>
        </w:rPr>
        <w:t xml:space="preserve"> and where the decision was made in violation of Article 18 of the Convention. These additional safeguards may rarely be needed but there are exceptional cases where the complete abolition of grounds of refusal can result in unfairness to the maintenance debtor.</w:t>
      </w:r>
      <w:r w:rsidR="00886E40" w:rsidRPr="00505C99">
        <w:rPr>
          <w:sz w:val="24"/>
          <w:szCs w:val="24"/>
          <w:vertAlign w:val="superscript"/>
        </w:rPr>
        <w:footnoteReference w:id="96"/>
      </w:r>
      <w:r w:rsidR="002802B9" w:rsidRPr="00505C99">
        <w:rPr>
          <w:sz w:val="24"/>
          <w:szCs w:val="24"/>
        </w:rPr>
        <w:t xml:space="preserve"> </w:t>
      </w:r>
      <w:r w:rsidR="009D7124" w:rsidRPr="00505C99">
        <w:rPr>
          <w:sz w:val="24"/>
          <w:szCs w:val="24"/>
        </w:rPr>
        <w:t xml:space="preserve">It is possible in many Member States of the EU for a maintenance decision to be granted against adult children on the ground that they are not maintaining their elderly parents. </w:t>
      </w:r>
      <w:r w:rsidR="00C61CE7" w:rsidRPr="00505C99">
        <w:rPr>
          <w:sz w:val="24"/>
          <w:szCs w:val="24"/>
        </w:rPr>
        <w:t>P</w:t>
      </w:r>
      <w:r w:rsidR="009D7124" w:rsidRPr="00505C99">
        <w:rPr>
          <w:sz w:val="24"/>
          <w:szCs w:val="24"/>
        </w:rPr>
        <w:t xml:space="preserve">rotection against this happening can be found in </w:t>
      </w:r>
      <w:r w:rsidR="00C61CE7" w:rsidRPr="00505C99">
        <w:rPr>
          <w:sz w:val="24"/>
          <w:szCs w:val="24"/>
        </w:rPr>
        <w:t xml:space="preserve">the defence provided by </w:t>
      </w:r>
      <w:r w:rsidR="009D7124" w:rsidRPr="00505C99">
        <w:rPr>
          <w:sz w:val="24"/>
          <w:szCs w:val="24"/>
        </w:rPr>
        <w:t xml:space="preserve">Article 6 of the Hague </w:t>
      </w:r>
      <w:r w:rsidR="0044177C" w:rsidRPr="00505C99">
        <w:rPr>
          <w:sz w:val="24"/>
          <w:szCs w:val="24"/>
        </w:rPr>
        <w:t>M</w:t>
      </w:r>
      <w:r w:rsidR="009D7124" w:rsidRPr="00505C99">
        <w:rPr>
          <w:sz w:val="24"/>
          <w:szCs w:val="24"/>
        </w:rPr>
        <w:t xml:space="preserve">aintenance Protocol but some judgments may not be contested in that State or may slip through the </w:t>
      </w:r>
      <w:r w:rsidR="0044177C" w:rsidRPr="00505C99">
        <w:rPr>
          <w:sz w:val="24"/>
          <w:szCs w:val="24"/>
        </w:rPr>
        <w:t>P</w:t>
      </w:r>
      <w:r w:rsidR="009D7124" w:rsidRPr="00505C99">
        <w:rPr>
          <w:sz w:val="24"/>
          <w:szCs w:val="24"/>
        </w:rPr>
        <w:t>rotocol protection. In such circumstances it will often be appropriate on grounds of public policy</w:t>
      </w:r>
      <w:r w:rsidR="0044177C" w:rsidRPr="00505C99">
        <w:rPr>
          <w:sz w:val="24"/>
          <w:szCs w:val="24"/>
        </w:rPr>
        <w:t>,</w:t>
      </w:r>
      <w:r w:rsidR="009D7124" w:rsidRPr="00505C99">
        <w:rPr>
          <w:sz w:val="24"/>
          <w:szCs w:val="24"/>
        </w:rPr>
        <w:t xml:space="preserve"> </w:t>
      </w:r>
      <w:r w:rsidR="0044177C" w:rsidRPr="00505C99">
        <w:rPr>
          <w:sz w:val="24"/>
          <w:szCs w:val="24"/>
        </w:rPr>
        <w:t>in relation to</w:t>
      </w:r>
      <w:r w:rsidR="009D7124" w:rsidRPr="00505C99">
        <w:rPr>
          <w:sz w:val="24"/>
          <w:szCs w:val="24"/>
        </w:rPr>
        <w:t xml:space="preserve"> children that are strongly connected with the UK</w:t>
      </w:r>
      <w:r w:rsidR="0044177C" w:rsidRPr="00505C99">
        <w:rPr>
          <w:sz w:val="24"/>
          <w:szCs w:val="24"/>
        </w:rPr>
        <w:t>,</w:t>
      </w:r>
      <w:r w:rsidR="009D7124" w:rsidRPr="00505C99">
        <w:rPr>
          <w:sz w:val="24"/>
          <w:szCs w:val="24"/>
        </w:rPr>
        <w:t xml:space="preserve"> not to enforce a judgment requiring them to maintain their elderly parents in another EU Member State. </w:t>
      </w:r>
      <w:r w:rsidR="004127CA" w:rsidRPr="00505C99">
        <w:rPr>
          <w:sz w:val="24"/>
          <w:szCs w:val="24"/>
        </w:rPr>
        <w:t>The public policy at stake here is that people living in the UK do not have a legitimate expectation to have to financially support their elderly parents who brought them up in the UK but have subsequently moved to a country where there is a legal obligation on adult children to maintain their parents</w:t>
      </w:r>
      <w:r w:rsidR="00C61CE7" w:rsidRPr="00505C99">
        <w:rPr>
          <w:sz w:val="24"/>
          <w:szCs w:val="24"/>
        </w:rPr>
        <w:t xml:space="preserve">.  The </w:t>
      </w:r>
      <w:r w:rsidR="002802B9" w:rsidRPr="00505C99">
        <w:rPr>
          <w:sz w:val="24"/>
          <w:szCs w:val="24"/>
        </w:rPr>
        <w:t>restoration of a public policy exception is a wise thing that should be reinstated in the EU and having it reinstated through the application of Hague 2007 to post-Brexit recognition and enforcement of EU judgments in the UK is to be welcomed.</w:t>
      </w:r>
    </w:p>
    <w:p w14:paraId="6583EC53" w14:textId="77777777" w:rsidR="000373C8" w:rsidRPr="00505C99" w:rsidRDefault="000373C8" w:rsidP="00505C99">
      <w:pPr>
        <w:spacing w:line="360" w:lineRule="auto"/>
        <w:jc w:val="both"/>
        <w:rPr>
          <w:sz w:val="24"/>
          <w:szCs w:val="24"/>
        </w:rPr>
      </w:pPr>
    </w:p>
    <w:p w14:paraId="110E2A1C" w14:textId="77777777" w:rsidR="000373C8" w:rsidRPr="00505C99" w:rsidRDefault="00DA4F3B" w:rsidP="00505C99">
      <w:pPr>
        <w:spacing w:line="360" w:lineRule="auto"/>
        <w:jc w:val="both"/>
        <w:rPr>
          <w:b/>
          <w:sz w:val="24"/>
          <w:szCs w:val="24"/>
        </w:rPr>
      </w:pPr>
      <w:r w:rsidRPr="00505C99">
        <w:rPr>
          <w:b/>
          <w:sz w:val="24"/>
          <w:szCs w:val="24"/>
        </w:rPr>
        <w:t>D The Role of the Court of Justice of the European Union</w:t>
      </w:r>
    </w:p>
    <w:p w14:paraId="6772349C" w14:textId="77777777" w:rsidR="00185CC7" w:rsidRPr="00505C99" w:rsidRDefault="00185CC7" w:rsidP="00505C99">
      <w:pPr>
        <w:spacing w:line="360" w:lineRule="auto"/>
        <w:jc w:val="both"/>
        <w:rPr>
          <w:b/>
          <w:sz w:val="24"/>
          <w:szCs w:val="24"/>
        </w:rPr>
      </w:pPr>
    </w:p>
    <w:p w14:paraId="2359269B" w14:textId="545A6A6C" w:rsidR="00185CC7" w:rsidRPr="00505C99" w:rsidRDefault="00DA4F3B" w:rsidP="00505C99">
      <w:pPr>
        <w:spacing w:line="360" w:lineRule="auto"/>
        <w:jc w:val="both"/>
        <w:rPr>
          <w:sz w:val="24"/>
          <w:szCs w:val="24"/>
        </w:rPr>
      </w:pPr>
      <w:r w:rsidRPr="00505C99">
        <w:rPr>
          <w:sz w:val="24"/>
          <w:szCs w:val="24"/>
        </w:rPr>
        <w:t xml:space="preserve">One factor in favour of keeping an involvement in the EU civil judicial cooperation on family law matters can be said to be the uniform interpretation that can be enhanced by the role of the </w:t>
      </w:r>
      <w:r w:rsidR="00892931" w:rsidRPr="00505C99">
        <w:rPr>
          <w:sz w:val="24"/>
          <w:szCs w:val="24"/>
        </w:rPr>
        <w:t>CJEU</w:t>
      </w:r>
      <w:r w:rsidRPr="00505C99">
        <w:rPr>
          <w:sz w:val="24"/>
          <w:szCs w:val="24"/>
        </w:rPr>
        <w:t>. However, this is not a strong factor if the CJEU is not well equipped to play this role in relation to</w:t>
      </w:r>
      <w:r w:rsidR="005C17D1">
        <w:rPr>
          <w:sz w:val="24"/>
          <w:szCs w:val="24"/>
        </w:rPr>
        <w:t xml:space="preserve"> the private international law of</w:t>
      </w:r>
      <w:r w:rsidRPr="00505C99">
        <w:rPr>
          <w:sz w:val="24"/>
          <w:szCs w:val="24"/>
        </w:rPr>
        <w:t xml:space="preserve"> family law.  It is clear that very few if any of the Judges and Advocates General in the EU have any background in </w:t>
      </w:r>
      <w:r w:rsidR="009A5F7B" w:rsidRPr="00505C99">
        <w:rPr>
          <w:sz w:val="24"/>
          <w:szCs w:val="24"/>
        </w:rPr>
        <w:t>judicial or legal</w:t>
      </w:r>
      <w:r w:rsidRPr="00505C99">
        <w:rPr>
          <w:sz w:val="24"/>
          <w:szCs w:val="24"/>
        </w:rPr>
        <w:t xml:space="preserve"> practice</w:t>
      </w:r>
      <w:r w:rsidR="009A5F7B" w:rsidRPr="00505C99">
        <w:rPr>
          <w:sz w:val="24"/>
          <w:szCs w:val="24"/>
        </w:rPr>
        <w:t>,</w:t>
      </w:r>
      <w:r w:rsidRPr="00505C99">
        <w:rPr>
          <w:sz w:val="24"/>
          <w:szCs w:val="24"/>
        </w:rPr>
        <w:t xml:space="preserve"> or the academic analysis</w:t>
      </w:r>
      <w:r w:rsidR="009A5F7B" w:rsidRPr="00505C99">
        <w:rPr>
          <w:sz w:val="24"/>
          <w:szCs w:val="24"/>
        </w:rPr>
        <w:t>,</w:t>
      </w:r>
      <w:r w:rsidRPr="00505C99">
        <w:rPr>
          <w:sz w:val="24"/>
          <w:szCs w:val="24"/>
        </w:rPr>
        <w:t xml:space="preserve"> of either private international law or family law.</w:t>
      </w:r>
      <w:r w:rsidR="00D40E29" w:rsidRPr="00505C99">
        <w:rPr>
          <w:rStyle w:val="FootnoteReference"/>
          <w:sz w:val="24"/>
          <w:szCs w:val="24"/>
        </w:rPr>
        <w:footnoteReference w:id="97"/>
      </w:r>
      <w:r w:rsidRPr="00505C99">
        <w:rPr>
          <w:sz w:val="24"/>
          <w:szCs w:val="24"/>
        </w:rPr>
        <w:t xml:space="preserve"> The recent EUPILLAR study</w:t>
      </w:r>
      <w:r w:rsidR="002461EE" w:rsidRPr="00505C99">
        <w:rPr>
          <w:sz w:val="24"/>
          <w:szCs w:val="24"/>
        </w:rPr>
        <w:t>,</w:t>
      </w:r>
      <w:r w:rsidRPr="00505C99">
        <w:rPr>
          <w:sz w:val="24"/>
          <w:szCs w:val="24"/>
        </w:rPr>
        <w:t xml:space="preserve"> funded by the EU Commission</w:t>
      </w:r>
      <w:r w:rsidR="002461EE" w:rsidRPr="00505C99">
        <w:rPr>
          <w:sz w:val="24"/>
          <w:szCs w:val="24"/>
        </w:rPr>
        <w:t>,</w:t>
      </w:r>
      <w:r w:rsidRPr="00505C99">
        <w:rPr>
          <w:sz w:val="24"/>
          <w:szCs w:val="24"/>
        </w:rPr>
        <w:t xml:space="preserve"> has shown that in a significant percentage of CJEU cases the judgments in private international law (and particularly in family law aspects) have met with significant disapproval from some academics and EU officials.</w:t>
      </w:r>
      <w:r w:rsidR="009A5F7B" w:rsidRPr="00505C99">
        <w:rPr>
          <w:rStyle w:val="FootnoteReference"/>
          <w:sz w:val="24"/>
          <w:szCs w:val="24"/>
        </w:rPr>
        <w:footnoteReference w:id="98"/>
      </w:r>
      <w:r w:rsidRPr="00505C99">
        <w:rPr>
          <w:sz w:val="24"/>
          <w:szCs w:val="24"/>
        </w:rPr>
        <w:t xml:space="preserve"> The study has advocated that a specialist chamber should be created in the CJEU to deal with preliminary rulings on private (international) law issues with specialist Judges and at least one Advocate General and supporting </w:t>
      </w:r>
      <w:r w:rsidR="009A5F7B" w:rsidRPr="00505C99">
        <w:rPr>
          <w:sz w:val="24"/>
          <w:szCs w:val="24"/>
        </w:rPr>
        <w:t>L</w:t>
      </w:r>
      <w:r w:rsidRPr="00505C99">
        <w:rPr>
          <w:sz w:val="24"/>
          <w:szCs w:val="24"/>
        </w:rPr>
        <w:t>egal Secretaries who have specialist expertise in practice and/or academia in these fields.</w:t>
      </w:r>
      <w:r w:rsidR="009A5F7B" w:rsidRPr="00505C99">
        <w:rPr>
          <w:rStyle w:val="FootnoteReference"/>
          <w:sz w:val="24"/>
          <w:szCs w:val="24"/>
        </w:rPr>
        <w:footnoteReference w:id="99"/>
      </w:r>
      <w:r w:rsidR="009A5F7B" w:rsidRPr="00505C99">
        <w:rPr>
          <w:sz w:val="24"/>
          <w:szCs w:val="24"/>
        </w:rPr>
        <w:t xml:space="preserve">  However, the study also reveals that any such change would only be made unanimously by the Member States of the EU and it would have to be done against the will of many if not all of the current members of the CJEU who seem very proud of its status as a generalist court on all aspects of EU law.</w:t>
      </w:r>
      <w:r w:rsidRPr="00505C99">
        <w:rPr>
          <w:sz w:val="24"/>
          <w:szCs w:val="24"/>
        </w:rPr>
        <w:t xml:space="preserve"> </w:t>
      </w:r>
      <w:r w:rsidR="009A5F7B" w:rsidRPr="00505C99">
        <w:rPr>
          <w:rStyle w:val="FootnoteReference"/>
          <w:sz w:val="24"/>
          <w:szCs w:val="24"/>
        </w:rPr>
        <w:footnoteReference w:id="100"/>
      </w:r>
      <w:r w:rsidR="009A5F7B" w:rsidRPr="00505C99">
        <w:rPr>
          <w:sz w:val="24"/>
          <w:szCs w:val="24"/>
        </w:rPr>
        <w:t xml:space="preserve"> It makes little sense to advocate remaining under the jurisdiction of the CJEU for private international law of family matters not only for the political reason that removing the binding authority of </w:t>
      </w:r>
      <w:r w:rsidR="00135224" w:rsidRPr="00505C99">
        <w:rPr>
          <w:sz w:val="24"/>
          <w:szCs w:val="24"/>
        </w:rPr>
        <w:t xml:space="preserve">all </w:t>
      </w:r>
      <w:r w:rsidR="009A5F7B" w:rsidRPr="00505C99">
        <w:rPr>
          <w:sz w:val="24"/>
          <w:szCs w:val="24"/>
        </w:rPr>
        <w:t>CJEU decisions in the UK is a red line issue in the Brexit negotiations</w:t>
      </w:r>
      <w:r w:rsidR="00135224" w:rsidRPr="00505C99">
        <w:rPr>
          <w:rStyle w:val="FootnoteReference"/>
          <w:sz w:val="24"/>
          <w:szCs w:val="24"/>
        </w:rPr>
        <w:footnoteReference w:id="101"/>
      </w:r>
      <w:r w:rsidR="00135224" w:rsidRPr="00505C99">
        <w:rPr>
          <w:sz w:val="24"/>
          <w:szCs w:val="24"/>
        </w:rPr>
        <w:t xml:space="preserve"> but also because</w:t>
      </w:r>
      <w:r w:rsidR="00754CCD" w:rsidRPr="00505C99">
        <w:rPr>
          <w:sz w:val="24"/>
          <w:szCs w:val="24"/>
        </w:rPr>
        <w:t>,</w:t>
      </w:r>
      <w:r w:rsidR="00135224" w:rsidRPr="00505C99">
        <w:rPr>
          <w:sz w:val="24"/>
          <w:szCs w:val="24"/>
        </w:rPr>
        <w:t xml:space="preserve"> objectively</w:t>
      </w:r>
      <w:r w:rsidR="00754CCD" w:rsidRPr="00505C99">
        <w:rPr>
          <w:sz w:val="24"/>
          <w:szCs w:val="24"/>
        </w:rPr>
        <w:t>,</w:t>
      </w:r>
      <w:r w:rsidR="00135224" w:rsidRPr="00505C99">
        <w:rPr>
          <w:sz w:val="24"/>
          <w:szCs w:val="24"/>
        </w:rPr>
        <w:t xml:space="preserve"> it is not an appropriately qualified court to take final decisions on such sensitive matters</w:t>
      </w:r>
      <w:r w:rsidR="009A5F7B" w:rsidRPr="00505C99">
        <w:rPr>
          <w:sz w:val="24"/>
          <w:szCs w:val="24"/>
        </w:rPr>
        <w:t>.</w:t>
      </w:r>
      <w:r w:rsidR="00135224" w:rsidRPr="00505C99">
        <w:rPr>
          <w:sz w:val="24"/>
          <w:szCs w:val="24"/>
        </w:rPr>
        <w:t xml:space="preserve"> In this regard</w:t>
      </w:r>
      <w:r w:rsidR="00754CCD" w:rsidRPr="00505C99">
        <w:rPr>
          <w:sz w:val="24"/>
          <w:szCs w:val="24"/>
        </w:rPr>
        <w:t>,</w:t>
      </w:r>
      <w:r w:rsidR="00135224" w:rsidRPr="00505C99">
        <w:rPr>
          <w:sz w:val="24"/>
          <w:szCs w:val="24"/>
        </w:rPr>
        <w:t xml:space="preserve"> the UK Supreme Court has much stronger legal credentials in terms of the relevant experience of its judges.</w:t>
      </w:r>
      <w:r w:rsidR="009C1C4E" w:rsidRPr="00505C99">
        <w:rPr>
          <w:rStyle w:val="FootnoteReference"/>
          <w:sz w:val="24"/>
          <w:szCs w:val="24"/>
        </w:rPr>
        <w:footnoteReference w:id="102"/>
      </w:r>
      <w:r w:rsidR="000A1A24" w:rsidRPr="00505C99">
        <w:rPr>
          <w:sz w:val="24"/>
          <w:szCs w:val="24"/>
        </w:rPr>
        <w:t xml:space="preserve"> Another relevant factor is that the CJEU’s overriding objective of helping to establish an ever closer Union can cloud its ability to act as a leading Court in the interpretation of international treaties to which the EU is a party or its Member States are parties. This can be seen in the Court’s case law on the relationship between Brussels I and certain specialist international treaties and in some of its case law under Brussels </w:t>
      </w:r>
      <w:proofErr w:type="spellStart"/>
      <w:r w:rsidR="000A1A24" w:rsidRPr="00505C99">
        <w:rPr>
          <w:sz w:val="24"/>
          <w:szCs w:val="24"/>
        </w:rPr>
        <w:t>IIa</w:t>
      </w:r>
      <w:proofErr w:type="spellEnd"/>
      <w:r w:rsidR="000A1A24" w:rsidRPr="00505C99">
        <w:rPr>
          <w:sz w:val="24"/>
          <w:szCs w:val="24"/>
        </w:rPr>
        <w:t xml:space="preserve"> where the relationship with Hague 1980 and Hague 1996 is not full</w:t>
      </w:r>
      <w:r w:rsidR="00504D06" w:rsidRPr="00505C99">
        <w:rPr>
          <w:sz w:val="24"/>
          <w:szCs w:val="24"/>
        </w:rPr>
        <w:t>y</w:t>
      </w:r>
      <w:r w:rsidR="000A1A24" w:rsidRPr="00505C99">
        <w:rPr>
          <w:sz w:val="24"/>
          <w:szCs w:val="24"/>
        </w:rPr>
        <w:t xml:space="preserve"> assessed by </w:t>
      </w:r>
      <w:r w:rsidR="00504D06" w:rsidRPr="00505C99">
        <w:rPr>
          <w:sz w:val="24"/>
          <w:szCs w:val="24"/>
        </w:rPr>
        <w:t>referring to</w:t>
      </w:r>
      <w:r w:rsidR="000A1A24" w:rsidRPr="00505C99">
        <w:rPr>
          <w:sz w:val="24"/>
          <w:szCs w:val="24"/>
        </w:rPr>
        <w:t xml:space="preserve"> </w:t>
      </w:r>
      <w:r w:rsidR="00504D06" w:rsidRPr="00505C99">
        <w:rPr>
          <w:sz w:val="24"/>
          <w:szCs w:val="24"/>
        </w:rPr>
        <w:t>non-CJEU</w:t>
      </w:r>
      <w:r w:rsidR="000A1A24" w:rsidRPr="00505C99">
        <w:rPr>
          <w:sz w:val="24"/>
          <w:szCs w:val="24"/>
        </w:rPr>
        <w:t xml:space="preserve"> case law on the interpretation of those Conventions and trying to promote the uniform interpretation globally of those Conventions.</w:t>
      </w:r>
      <w:r w:rsidR="000A1A24" w:rsidRPr="00505C99">
        <w:rPr>
          <w:rStyle w:val="FootnoteReference"/>
          <w:sz w:val="24"/>
          <w:szCs w:val="24"/>
        </w:rPr>
        <w:footnoteReference w:id="103"/>
      </w:r>
    </w:p>
    <w:p w14:paraId="2E2ACB4C" w14:textId="77777777" w:rsidR="000A1A24" w:rsidRPr="00505C99" w:rsidRDefault="000A1A24" w:rsidP="00505C99">
      <w:pPr>
        <w:spacing w:line="360" w:lineRule="auto"/>
        <w:jc w:val="both"/>
        <w:rPr>
          <w:sz w:val="24"/>
          <w:szCs w:val="24"/>
        </w:rPr>
      </w:pPr>
    </w:p>
    <w:p w14:paraId="3AC5E4EC" w14:textId="77777777" w:rsidR="000A1A24" w:rsidRPr="00505C99" w:rsidRDefault="000A1A24" w:rsidP="00505C99">
      <w:pPr>
        <w:spacing w:line="360" w:lineRule="auto"/>
        <w:jc w:val="both"/>
        <w:rPr>
          <w:b/>
          <w:sz w:val="24"/>
          <w:szCs w:val="24"/>
        </w:rPr>
      </w:pPr>
      <w:r w:rsidRPr="00505C99">
        <w:rPr>
          <w:b/>
          <w:sz w:val="24"/>
          <w:szCs w:val="24"/>
        </w:rPr>
        <w:t>E Conclusion</w:t>
      </w:r>
    </w:p>
    <w:p w14:paraId="54EC020E" w14:textId="77777777" w:rsidR="000A1A24" w:rsidRPr="00505C99" w:rsidRDefault="000A1A24" w:rsidP="00505C99">
      <w:pPr>
        <w:spacing w:line="360" w:lineRule="auto"/>
        <w:jc w:val="both"/>
        <w:rPr>
          <w:sz w:val="24"/>
          <w:szCs w:val="24"/>
        </w:rPr>
      </w:pPr>
    </w:p>
    <w:p w14:paraId="7D17C87F" w14:textId="1861258F" w:rsidR="000A1A24" w:rsidRPr="00505C99" w:rsidRDefault="00EE4DA8" w:rsidP="00505C99">
      <w:pPr>
        <w:spacing w:line="360" w:lineRule="auto"/>
        <w:jc w:val="both"/>
        <w:rPr>
          <w:sz w:val="24"/>
          <w:szCs w:val="24"/>
        </w:rPr>
      </w:pPr>
      <w:r w:rsidRPr="00505C99">
        <w:rPr>
          <w:sz w:val="24"/>
          <w:szCs w:val="24"/>
        </w:rPr>
        <w:t>There is nothing to fear in the UK from Brexit in relation to private international law applicable to children</w:t>
      </w:r>
      <w:r w:rsidR="00D97794" w:rsidRPr="00505C99">
        <w:rPr>
          <w:sz w:val="24"/>
          <w:szCs w:val="24"/>
        </w:rPr>
        <w:t>. There is a clear exit strategy of falling back on the Hague Conventions of 1980, 1996 and 2007 for the regime applicable to the UK’s relations with EU Member States. The only part</w:t>
      </w:r>
      <w:r w:rsidR="00FE6688" w:rsidRPr="00505C99">
        <w:rPr>
          <w:sz w:val="24"/>
          <w:szCs w:val="24"/>
        </w:rPr>
        <w:t>s</w:t>
      </w:r>
      <w:r w:rsidR="00D97794" w:rsidRPr="00505C99">
        <w:rPr>
          <w:sz w:val="24"/>
          <w:szCs w:val="24"/>
        </w:rPr>
        <w:t xml:space="preserve"> of Brussels </w:t>
      </w:r>
      <w:proofErr w:type="spellStart"/>
      <w:r w:rsidR="00D97794" w:rsidRPr="00505C99">
        <w:rPr>
          <w:sz w:val="24"/>
          <w:szCs w:val="24"/>
        </w:rPr>
        <w:t>IIa</w:t>
      </w:r>
      <w:proofErr w:type="spellEnd"/>
      <w:r w:rsidR="00D97794" w:rsidRPr="00505C99">
        <w:rPr>
          <w:sz w:val="24"/>
          <w:szCs w:val="24"/>
        </w:rPr>
        <w:t xml:space="preserve"> and the Maintenance Regulation that could usefully be kept in the Great Repeal </w:t>
      </w:r>
      <w:r w:rsidR="006977B8" w:rsidRPr="00505C99">
        <w:rPr>
          <w:sz w:val="24"/>
          <w:szCs w:val="24"/>
        </w:rPr>
        <w:t>Act</w:t>
      </w:r>
      <w:r w:rsidR="00D97794" w:rsidRPr="00505C99">
        <w:rPr>
          <w:sz w:val="24"/>
          <w:szCs w:val="24"/>
        </w:rPr>
        <w:t xml:space="preserve"> are the jurisdiction provisions. </w:t>
      </w:r>
      <w:r w:rsidR="00B67026" w:rsidRPr="00505C99">
        <w:rPr>
          <w:sz w:val="24"/>
          <w:szCs w:val="24"/>
        </w:rPr>
        <w:t>The legislature will have to consider what jurisdiction rules to apply in relation to cases that do not fall within the scope of Hague 1996.</w:t>
      </w:r>
      <w:r w:rsidR="009A1BD0" w:rsidRPr="00505C99">
        <w:rPr>
          <w:sz w:val="24"/>
          <w:szCs w:val="24"/>
        </w:rPr>
        <w:t xml:space="preserve"> The best combination seems to be Articles 5-7 and 11-12 of Hague 1996 and Articles 12 and 14 of Brussels </w:t>
      </w:r>
      <w:proofErr w:type="spellStart"/>
      <w:r w:rsidR="009A1BD0" w:rsidRPr="00505C99">
        <w:rPr>
          <w:sz w:val="24"/>
          <w:szCs w:val="24"/>
        </w:rPr>
        <w:t>IIa</w:t>
      </w:r>
      <w:proofErr w:type="spellEnd"/>
      <w:r w:rsidR="009A1BD0" w:rsidRPr="00505C99">
        <w:rPr>
          <w:sz w:val="24"/>
          <w:szCs w:val="24"/>
        </w:rPr>
        <w:t xml:space="preserve"> with references to Member State and Contracting State being replaced by the UK or the relevant part of the UK. The common law </w:t>
      </w:r>
      <w:r w:rsidR="009A1BD0" w:rsidRPr="00505C99">
        <w:rPr>
          <w:i/>
          <w:sz w:val="24"/>
          <w:szCs w:val="24"/>
        </w:rPr>
        <w:t xml:space="preserve">forum non </w:t>
      </w:r>
      <w:proofErr w:type="spellStart"/>
      <w:r w:rsidR="009A1BD0" w:rsidRPr="00505C99">
        <w:rPr>
          <w:i/>
          <w:sz w:val="24"/>
          <w:szCs w:val="24"/>
        </w:rPr>
        <w:t>conveniens</w:t>
      </w:r>
      <w:proofErr w:type="spellEnd"/>
      <w:r w:rsidR="009A1BD0" w:rsidRPr="00505C99">
        <w:rPr>
          <w:sz w:val="24"/>
          <w:szCs w:val="24"/>
        </w:rPr>
        <w:t xml:space="preserve"> should apply to declining jurisdiction in favour of non-Contracting States to Hague 1996. </w:t>
      </w:r>
      <w:r w:rsidR="00D97794" w:rsidRPr="00505C99">
        <w:rPr>
          <w:sz w:val="24"/>
          <w:szCs w:val="24"/>
        </w:rPr>
        <w:t xml:space="preserve">It would have to be made clear that the </w:t>
      </w:r>
      <w:r w:rsidR="009A1BD0" w:rsidRPr="00505C99">
        <w:rPr>
          <w:sz w:val="24"/>
          <w:szCs w:val="24"/>
        </w:rPr>
        <w:t>prorogation rule</w:t>
      </w:r>
      <w:r w:rsidR="00D97794" w:rsidRPr="00505C99">
        <w:rPr>
          <w:sz w:val="24"/>
          <w:szCs w:val="24"/>
        </w:rPr>
        <w:t xml:space="preserve"> would give way to the Hague 1996 jurisdiction provisions in cases where the parties have chosen a court</w:t>
      </w:r>
      <w:r w:rsidR="00D43E2C" w:rsidRPr="00505C99">
        <w:rPr>
          <w:sz w:val="24"/>
          <w:szCs w:val="24"/>
        </w:rPr>
        <w:t>,</w:t>
      </w:r>
      <w:r w:rsidR="00D97794" w:rsidRPr="00505C99">
        <w:rPr>
          <w:sz w:val="24"/>
          <w:szCs w:val="24"/>
        </w:rPr>
        <w:t xml:space="preserve"> </w:t>
      </w:r>
      <w:r w:rsidR="009A1BD0" w:rsidRPr="00505C99">
        <w:rPr>
          <w:sz w:val="24"/>
          <w:szCs w:val="24"/>
        </w:rPr>
        <w:t>or the child is habitually resident</w:t>
      </w:r>
      <w:r w:rsidR="00D43E2C" w:rsidRPr="00505C99">
        <w:rPr>
          <w:sz w:val="24"/>
          <w:szCs w:val="24"/>
        </w:rPr>
        <w:t>,</w:t>
      </w:r>
      <w:r w:rsidR="009A1BD0" w:rsidRPr="00505C99">
        <w:rPr>
          <w:sz w:val="24"/>
          <w:szCs w:val="24"/>
        </w:rPr>
        <w:t xml:space="preserve"> </w:t>
      </w:r>
      <w:r w:rsidR="00D97794" w:rsidRPr="00505C99">
        <w:rPr>
          <w:sz w:val="24"/>
          <w:szCs w:val="24"/>
        </w:rPr>
        <w:t>in another Hague 1996 Contracting State. In the long run</w:t>
      </w:r>
      <w:r w:rsidR="00754CCD" w:rsidRPr="00505C99">
        <w:rPr>
          <w:sz w:val="24"/>
          <w:szCs w:val="24"/>
        </w:rPr>
        <w:t>,</w:t>
      </w:r>
      <w:r w:rsidR="00D97794" w:rsidRPr="00505C99">
        <w:rPr>
          <w:sz w:val="24"/>
          <w:szCs w:val="24"/>
        </w:rPr>
        <w:t xml:space="preserve"> efforts should be made to improve the choice of court regime for parental responsibility and access under </w:t>
      </w:r>
      <w:r w:rsidR="006977B8" w:rsidRPr="00505C99">
        <w:rPr>
          <w:sz w:val="24"/>
          <w:szCs w:val="24"/>
        </w:rPr>
        <w:t>Hague</w:t>
      </w:r>
      <w:r w:rsidR="00D97794" w:rsidRPr="00505C99">
        <w:rPr>
          <w:sz w:val="24"/>
          <w:szCs w:val="24"/>
        </w:rPr>
        <w:t xml:space="preserve"> 1996 by supporting the work of the Experts’ Group in the Hague Conference on Private International Law that is trying to widen party autonomy for family agreements involving children considerably beyond what is possible under </w:t>
      </w:r>
      <w:r w:rsidR="00FE6688" w:rsidRPr="00505C99">
        <w:rPr>
          <w:sz w:val="24"/>
          <w:szCs w:val="24"/>
        </w:rPr>
        <w:t xml:space="preserve">Hague 1980, 1996 and 2007 and even beyond what is possible under </w:t>
      </w:r>
      <w:r w:rsidR="00D97794" w:rsidRPr="00505C99">
        <w:rPr>
          <w:sz w:val="24"/>
          <w:szCs w:val="24"/>
        </w:rPr>
        <w:t xml:space="preserve">Brussels </w:t>
      </w:r>
      <w:proofErr w:type="spellStart"/>
      <w:r w:rsidR="00D97794" w:rsidRPr="00505C99">
        <w:rPr>
          <w:sz w:val="24"/>
          <w:szCs w:val="24"/>
        </w:rPr>
        <w:t>IIa</w:t>
      </w:r>
      <w:proofErr w:type="spellEnd"/>
      <w:r w:rsidR="00D97794" w:rsidRPr="00505C99">
        <w:rPr>
          <w:sz w:val="24"/>
          <w:szCs w:val="24"/>
        </w:rPr>
        <w:t xml:space="preserve"> and the Maintenance Regulation</w:t>
      </w:r>
      <w:r w:rsidR="00FE6688" w:rsidRPr="00505C99">
        <w:rPr>
          <w:sz w:val="24"/>
          <w:szCs w:val="24"/>
        </w:rPr>
        <w:t xml:space="preserve"> (and the EU enhanced cooperation instruments on matrimonial property)</w:t>
      </w:r>
      <w:r w:rsidR="005C17D1">
        <w:rPr>
          <w:sz w:val="24"/>
          <w:szCs w:val="24"/>
        </w:rPr>
        <w:t>,</w:t>
      </w:r>
      <w:r w:rsidR="00D97794" w:rsidRPr="00505C99">
        <w:rPr>
          <w:sz w:val="24"/>
          <w:szCs w:val="24"/>
        </w:rPr>
        <w:t xml:space="preserve"> by creating a one stop shop for all issues to be dealt with together</w:t>
      </w:r>
      <w:r w:rsidR="00FE6688" w:rsidRPr="00505C99">
        <w:rPr>
          <w:sz w:val="24"/>
          <w:szCs w:val="24"/>
        </w:rPr>
        <w:t xml:space="preserve"> in one forum</w:t>
      </w:r>
      <w:r w:rsidR="00D97794" w:rsidRPr="00505C99">
        <w:rPr>
          <w:sz w:val="24"/>
          <w:szCs w:val="24"/>
        </w:rPr>
        <w:t xml:space="preserve"> (ideally divorce, maintenance, matrimonial property, parental responsibility</w:t>
      </w:r>
      <w:r w:rsidR="00FE6688" w:rsidRPr="00505C99">
        <w:rPr>
          <w:sz w:val="24"/>
          <w:szCs w:val="24"/>
        </w:rPr>
        <w:t>,</w:t>
      </w:r>
      <w:r w:rsidR="00D97794" w:rsidRPr="00505C99">
        <w:rPr>
          <w:sz w:val="24"/>
          <w:szCs w:val="24"/>
        </w:rPr>
        <w:t xml:space="preserve"> access</w:t>
      </w:r>
      <w:r w:rsidR="00FE6688" w:rsidRPr="00505C99">
        <w:rPr>
          <w:sz w:val="24"/>
          <w:szCs w:val="24"/>
        </w:rPr>
        <w:t xml:space="preserve"> and </w:t>
      </w:r>
      <w:r w:rsidR="00D43E2C" w:rsidRPr="00505C99">
        <w:rPr>
          <w:sz w:val="24"/>
          <w:szCs w:val="24"/>
        </w:rPr>
        <w:t xml:space="preserve">other </w:t>
      </w:r>
      <w:r w:rsidR="00FE6688" w:rsidRPr="00505C99">
        <w:rPr>
          <w:sz w:val="24"/>
          <w:szCs w:val="24"/>
        </w:rPr>
        <w:t>property issues</w:t>
      </w:r>
      <w:r w:rsidR="00D97794" w:rsidRPr="00505C99">
        <w:rPr>
          <w:sz w:val="24"/>
          <w:szCs w:val="24"/>
        </w:rPr>
        <w:t>)</w:t>
      </w:r>
      <w:r w:rsidR="00FE6688" w:rsidRPr="00505C99">
        <w:rPr>
          <w:sz w:val="24"/>
          <w:szCs w:val="24"/>
        </w:rPr>
        <w:t>.</w:t>
      </w:r>
    </w:p>
    <w:p w14:paraId="1473A22E" w14:textId="77777777" w:rsidR="00FE6688" w:rsidRPr="00505C99" w:rsidRDefault="00FE6688" w:rsidP="00505C99">
      <w:pPr>
        <w:spacing w:line="360" w:lineRule="auto"/>
        <w:jc w:val="both"/>
        <w:rPr>
          <w:sz w:val="24"/>
          <w:szCs w:val="24"/>
        </w:rPr>
      </w:pPr>
    </w:p>
    <w:p w14:paraId="332183DF" w14:textId="40B723DD" w:rsidR="00FE6688" w:rsidRPr="00505C99" w:rsidRDefault="00FE6688" w:rsidP="00505C99">
      <w:pPr>
        <w:spacing w:line="360" w:lineRule="auto"/>
        <w:jc w:val="both"/>
        <w:rPr>
          <w:sz w:val="24"/>
          <w:szCs w:val="24"/>
        </w:rPr>
      </w:pPr>
      <w:r w:rsidRPr="00505C99">
        <w:rPr>
          <w:sz w:val="24"/>
          <w:szCs w:val="24"/>
        </w:rPr>
        <w:t xml:space="preserve">The Hague Convention regime has certain advantages for the UK over the EU Regulation regime. </w:t>
      </w:r>
      <w:r w:rsidR="00BD134A" w:rsidRPr="00505C99">
        <w:rPr>
          <w:sz w:val="24"/>
          <w:szCs w:val="24"/>
        </w:rPr>
        <w:t>I</w:t>
      </w:r>
      <w:r w:rsidRPr="00505C99">
        <w:rPr>
          <w:sz w:val="24"/>
          <w:szCs w:val="24"/>
        </w:rPr>
        <w:t>n particular</w:t>
      </w:r>
      <w:r w:rsidR="00754CCD" w:rsidRPr="00505C99">
        <w:rPr>
          <w:sz w:val="24"/>
          <w:szCs w:val="24"/>
        </w:rPr>
        <w:t>,</w:t>
      </w:r>
      <w:r w:rsidRPr="00505C99">
        <w:rPr>
          <w:sz w:val="24"/>
          <w:szCs w:val="24"/>
        </w:rPr>
        <w:t xml:space="preserve"> it means that the unsuccessful experiment in overriding Hague 1980 non-return orders</w:t>
      </w:r>
      <w:r w:rsidR="00160D7D" w:rsidRPr="00505C99">
        <w:rPr>
          <w:sz w:val="24"/>
          <w:szCs w:val="24"/>
        </w:rPr>
        <w:t xml:space="preserve"> made in an EU Member State</w:t>
      </w:r>
      <w:r w:rsidRPr="00505C99">
        <w:rPr>
          <w:sz w:val="24"/>
          <w:szCs w:val="24"/>
        </w:rPr>
        <w:t xml:space="preserve"> can be abandoned and will not be applied in relation to child abduction cases between the UK and EU Member States in either direction. This means that the UK’s crucial role in helping to lead the world in the best interpretation and practice of Hague 1980 can be revitalised uncluttered by EU integration agendas and overblown conceptions of mutual trust that simply do not work. In relation to Hague 1996 the UK is well positioned to become the leader in best practice and interpretation of that Convention because it will have much more extensive case law under that Convention once all the cases with the EU Member States fall under it rather than Brussels </w:t>
      </w:r>
      <w:proofErr w:type="spellStart"/>
      <w:r w:rsidRPr="00505C99">
        <w:rPr>
          <w:sz w:val="24"/>
          <w:szCs w:val="24"/>
        </w:rPr>
        <w:t>IIa</w:t>
      </w:r>
      <w:proofErr w:type="spellEnd"/>
      <w:r w:rsidRPr="00505C99">
        <w:rPr>
          <w:sz w:val="24"/>
          <w:szCs w:val="24"/>
        </w:rPr>
        <w:t xml:space="preserve">. That Convention is on the cusp of becoming truly successful and its greater visibility in the UK will give a much greater incentive for the UK to push for ratification and accessions to that Convention by the </w:t>
      </w:r>
      <w:r w:rsidR="00BD134A" w:rsidRPr="00505C99">
        <w:rPr>
          <w:sz w:val="24"/>
          <w:szCs w:val="24"/>
        </w:rPr>
        <w:t>US, Commonwealth countries and other non-EU States. This in turn will create benefits for the EU in its promotion of the operation of Hague 1996 with the rest of the world</w:t>
      </w:r>
      <w:r w:rsidR="00160D7D" w:rsidRPr="00505C99">
        <w:rPr>
          <w:sz w:val="24"/>
          <w:szCs w:val="24"/>
        </w:rPr>
        <w:t xml:space="preserve"> as part of the EU </w:t>
      </w:r>
      <w:r w:rsidR="00160D7D" w:rsidRPr="00505C99">
        <w:rPr>
          <w:i/>
          <w:sz w:val="24"/>
          <w:szCs w:val="24"/>
        </w:rPr>
        <w:t>acquis</w:t>
      </w:r>
      <w:r w:rsidR="00BD134A" w:rsidRPr="00505C99">
        <w:rPr>
          <w:sz w:val="24"/>
          <w:szCs w:val="24"/>
        </w:rPr>
        <w:t xml:space="preserve">. In relation to the substance of Hague 1996 compared to Brussels </w:t>
      </w:r>
      <w:proofErr w:type="spellStart"/>
      <w:r w:rsidR="00BD134A" w:rsidRPr="00505C99">
        <w:rPr>
          <w:sz w:val="24"/>
          <w:szCs w:val="24"/>
        </w:rPr>
        <w:t>IIa</w:t>
      </w:r>
      <w:proofErr w:type="spellEnd"/>
      <w:r w:rsidR="0076457F" w:rsidRPr="00505C99">
        <w:rPr>
          <w:sz w:val="24"/>
          <w:szCs w:val="24"/>
        </w:rPr>
        <w:t>,</w:t>
      </w:r>
      <w:r w:rsidR="00BD134A" w:rsidRPr="00505C99">
        <w:rPr>
          <w:sz w:val="24"/>
          <w:szCs w:val="24"/>
        </w:rPr>
        <w:t xml:space="preserve"> it has a more flexible and realistic regime in relation to access both for jurisdiction and recognition and enforcement</w:t>
      </w:r>
      <w:r w:rsidR="00C74879" w:rsidRPr="00505C99">
        <w:rPr>
          <w:sz w:val="24"/>
          <w:szCs w:val="24"/>
        </w:rPr>
        <w:t>, subtly different and arguably better transfer provisions for parental responsibility and access cases, and does not intrude so far into jurisdiction and conflicts of jurisdiction rules when the case is strongly connected with States that are outside the EU and not Hague 1996 Contracting States</w:t>
      </w:r>
      <w:r w:rsidR="00BD134A" w:rsidRPr="00505C99">
        <w:rPr>
          <w:sz w:val="24"/>
          <w:szCs w:val="24"/>
        </w:rPr>
        <w:t>. Finally</w:t>
      </w:r>
      <w:r w:rsidR="0076457F" w:rsidRPr="00505C99">
        <w:rPr>
          <w:sz w:val="24"/>
          <w:szCs w:val="24"/>
        </w:rPr>
        <w:t>,</w:t>
      </w:r>
      <w:r w:rsidR="00BD134A" w:rsidRPr="00505C99">
        <w:rPr>
          <w:sz w:val="24"/>
          <w:szCs w:val="24"/>
        </w:rPr>
        <w:t xml:space="preserve"> in the context of maintenance the UK will benefit from being free of the almost completely unqualified duty to recognise and enforce maintenance decisions from other EU Member States which is not reciprocated in other EU Member States (which nonetheless will </w:t>
      </w:r>
      <w:r w:rsidR="00160D7D" w:rsidRPr="00505C99">
        <w:rPr>
          <w:sz w:val="24"/>
          <w:szCs w:val="24"/>
        </w:rPr>
        <w:t xml:space="preserve">continue to </w:t>
      </w:r>
      <w:r w:rsidR="00BD134A" w:rsidRPr="00505C99">
        <w:rPr>
          <w:sz w:val="24"/>
          <w:szCs w:val="24"/>
        </w:rPr>
        <w:t>apply the Hague Maintenance Protocol in cases involving one or more parties from the UK because the provisions of that Protocol have universal application</w:t>
      </w:r>
      <w:r w:rsidR="00407901" w:rsidRPr="00505C99">
        <w:rPr>
          <w:sz w:val="24"/>
          <w:szCs w:val="24"/>
        </w:rPr>
        <w:t xml:space="preserve"> and therefore UK citizens will still benefit </w:t>
      </w:r>
      <w:r w:rsidR="00160D7D" w:rsidRPr="00505C99">
        <w:rPr>
          <w:sz w:val="24"/>
          <w:szCs w:val="24"/>
        </w:rPr>
        <w:t>from</w:t>
      </w:r>
      <w:r w:rsidR="00407901" w:rsidRPr="00505C99">
        <w:rPr>
          <w:sz w:val="24"/>
          <w:szCs w:val="24"/>
        </w:rPr>
        <w:t xml:space="preserve"> the special rules in Articles 5 and 6).  In addition</w:t>
      </w:r>
      <w:r w:rsidR="0076457F" w:rsidRPr="00505C99">
        <w:rPr>
          <w:sz w:val="24"/>
          <w:szCs w:val="24"/>
        </w:rPr>
        <w:t>,</w:t>
      </w:r>
      <w:r w:rsidR="00407901" w:rsidRPr="00505C99">
        <w:rPr>
          <w:sz w:val="24"/>
          <w:szCs w:val="24"/>
        </w:rPr>
        <w:t xml:space="preserve"> the UK can choose to abandon the strict </w:t>
      </w:r>
      <w:proofErr w:type="spellStart"/>
      <w:r w:rsidR="00407901" w:rsidRPr="00505C99">
        <w:rPr>
          <w:i/>
          <w:sz w:val="24"/>
          <w:szCs w:val="24"/>
        </w:rPr>
        <w:t>lis</w:t>
      </w:r>
      <w:proofErr w:type="spellEnd"/>
      <w:r w:rsidR="00407901" w:rsidRPr="00505C99">
        <w:rPr>
          <w:i/>
          <w:sz w:val="24"/>
          <w:szCs w:val="24"/>
        </w:rPr>
        <w:t xml:space="preserve"> </w:t>
      </w:r>
      <w:proofErr w:type="spellStart"/>
      <w:r w:rsidR="00407901" w:rsidRPr="00505C99">
        <w:rPr>
          <w:i/>
          <w:sz w:val="24"/>
          <w:szCs w:val="24"/>
        </w:rPr>
        <w:t>pendens</w:t>
      </w:r>
      <w:proofErr w:type="spellEnd"/>
      <w:r w:rsidR="00407901" w:rsidRPr="00505C99">
        <w:rPr>
          <w:sz w:val="24"/>
          <w:szCs w:val="24"/>
        </w:rPr>
        <w:t xml:space="preserve"> rules in the Maintenance Regulation and restore a more flexible system based on the Scottish doctrine of </w:t>
      </w:r>
      <w:r w:rsidR="00407901" w:rsidRPr="00505C99">
        <w:rPr>
          <w:i/>
          <w:sz w:val="24"/>
          <w:szCs w:val="24"/>
        </w:rPr>
        <w:t xml:space="preserve">forum non </w:t>
      </w:r>
      <w:proofErr w:type="spellStart"/>
      <w:r w:rsidR="00407901" w:rsidRPr="00505C99">
        <w:rPr>
          <w:i/>
          <w:sz w:val="24"/>
          <w:szCs w:val="24"/>
        </w:rPr>
        <w:t>conveniens</w:t>
      </w:r>
      <w:proofErr w:type="spellEnd"/>
      <w:r w:rsidR="00407901" w:rsidRPr="00505C99">
        <w:rPr>
          <w:sz w:val="24"/>
          <w:szCs w:val="24"/>
        </w:rPr>
        <w:t>.</w:t>
      </w:r>
    </w:p>
    <w:p w14:paraId="27CCCE97" w14:textId="77777777" w:rsidR="00BD134A" w:rsidRPr="00505C99" w:rsidRDefault="00BD134A" w:rsidP="00505C99">
      <w:pPr>
        <w:spacing w:line="360" w:lineRule="auto"/>
        <w:jc w:val="both"/>
        <w:rPr>
          <w:sz w:val="24"/>
          <w:szCs w:val="24"/>
        </w:rPr>
      </w:pPr>
    </w:p>
    <w:p w14:paraId="771E42C1" w14:textId="77777777" w:rsidR="00BD134A" w:rsidRPr="00505C99" w:rsidRDefault="00BD134A" w:rsidP="00505C99">
      <w:pPr>
        <w:spacing w:line="360" w:lineRule="auto"/>
        <w:jc w:val="both"/>
        <w:rPr>
          <w:sz w:val="24"/>
          <w:szCs w:val="24"/>
        </w:rPr>
      </w:pPr>
      <w:r w:rsidRPr="00505C99">
        <w:rPr>
          <w:sz w:val="24"/>
          <w:szCs w:val="24"/>
        </w:rPr>
        <w:t>In all these matters students, practitioners and judges will be grateful to have fewer operative legal regimes post-Brexit than exist currently where we have a Hague international regime, an EU regime and in some cases residuary regimes operative in the UK. This can be reduced to an international regime and in some cases residuary regimes operative in the UK (which can be differentiated in the different legal systems in the UK to respect subsidiarity).</w:t>
      </w:r>
    </w:p>
    <w:sectPr w:rsidR="00BD134A" w:rsidRPr="00505C99" w:rsidSect="00923A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4166" w14:textId="77777777" w:rsidR="0061197B" w:rsidRDefault="0061197B" w:rsidP="0030729C">
      <w:r>
        <w:separator/>
      </w:r>
    </w:p>
  </w:endnote>
  <w:endnote w:type="continuationSeparator" w:id="0">
    <w:p w14:paraId="4B5535BB" w14:textId="77777777" w:rsidR="0061197B" w:rsidRDefault="0061197B" w:rsidP="0030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dg Swift">
    <w:altName w:val="Times New Roman"/>
    <w:charset w:val="00"/>
    <w:family w:val="auto"/>
    <w:pitch w:val="variable"/>
    <w:sig w:usb0="00000001" w:usb1="4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512733"/>
      <w:docPartObj>
        <w:docPartGallery w:val="Page Numbers (Bottom of Page)"/>
        <w:docPartUnique/>
      </w:docPartObj>
    </w:sdtPr>
    <w:sdtEndPr>
      <w:rPr>
        <w:noProof/>
      </w:rPr>
    </w:sdtEndPr>
    <w:sdtContent>
      <w:p w14:paraId="401BC2EF" w14:textId="2E5F80D4" w:rsidR="00505C99" w:rsidRDefault="00505C99">
        <w:pPr>
          <w:pStyle w:val="Footer"/>
          <w:jc w:val="center"/>
        </w:pPr>
        <w:r>
          <w:fldChar w:fldCharType="begin"/>
        </w:r>
        <w:r>
          <w:instrText xml:space="preserve"> PAGE   \* MERGEFORMAT </w:instrText>
        </w:r>
        <w:r>
          <w:fldChar w:fldCharType="separate"/>
        </w:r>
        <w:r w:rsidR="00CD2B58">
          <w:rPr>
            <w:noProof/>
          </w:rPr>
          <w:t>1</w:t>
        </w:r>
        <w:r>
          <w:rPr>
            <w:noProof/>
          </w:rPr>
          <w:fldChar w:fldCharType="end"/>
        </w:r>
      </w:p>
    </w:sdtContent>
  </w:sdt>
  <w:p w14:paraId="44795C1A" w14:textId="77777777" w:rsidR="00574556" w:rsidRDefault="0057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DD22" w14:textId="77777777" w:rsidR="0061197B" w:rsidRDefault="0061197B" w:rsidP="0030729C">
      <w:r>
        <w:separator/>
      </w:r>
    </w:p>
  </w:footnote>
  <w:footnote w:type="continuationSeparator" w:id="0">
    <w:p w14:paraId="0045C929" w14:textId="77777777" w:rsidR="0061197B" w:rsidRDefault="0061197B" w:rsidP="0030729C">
      <w:r>
        <w:continuationSeparator/>
      </w:r>
    </w:p>
  </w:footnote>
  <w:footnote w:id="1">
    <w:p w14:paraId="33ED8207" w14:textId="4C31E80B" w:rsidR="00B7380F" w:rsidRDefault="00B7380F" w:rsidP="005766C8">
      <w:pPr>
        <w:pStyle w:val="FootnoteText"/>
        <w:jc w:val="both"/>
      </w:pPr>
      <w:r>
        <w:t xml:space="preserve">* </w:t>
      </w:r>
      <w:r w:rsidR="00D64447">
        <w:t xml:space="preserve">Professor of EU and Private International Law, and Director of the Centre for Private International Law, University of Aberdeen.  Email: </w:t>
      </w:r>
      <w:hyperlink r:id="rId1" w:history="1">
        <w:r w:rsidR="00D64447">
          <w:rPr>
            <w:rStyle w:val="Hyperlink"/>
          </w:rPr>
          <w:t>p.beaumont@abdn.ac.uk</w:t>
        </w:r>
      </w:hyperlink>
      <w:r w:rsidR="00D64447">
        <w:t>. The author is grateful to Lara Walker and Katarina Trimmings for their helpful comments on an earlier draft of the article but remains solely responsible for its contents. The article grew out of a presentation at the CFLQ/Cambridge Family Law Centre Conference, ‘Brexit and Family Law’, Cambridge University, 27 March 2017.</w:t>
      </w:r>
    </w:p>
    <w:p w14:paraId="6C8CD38A" w14:textId="7290B144" w:rsidR="00A478E6" w:rsidRDefault="00A478E6" w:rsidP="005766C8">
      <w:pPr>
        <w:pStyle w:val="FootnoteText"/>
        <w:jc w:val="both"/>
      </w:pPr>
      <w:r>
        <w:rPr>
          <w:rStyle w:val="FootnoteReference"/>
        </w:rPr>
        <w:footnoteRef/>
      </w:r>
      <w:r>
        <w:t xml:space="preserve"> </w:t>
      </w:r>
      <w:r w:rsidRPr="00946719">
        <w:rPr>
          <w:bCs/>
        </w:rPr>
        <w:t>Council Regulation (EC) No 2201/2003 of 27 November 2003 concerning jurisdiction and the recognition and enforcement of judgments in matrimonial matters and the matters of parental responsibility, repealing Regulation (EC) No 1347/2000</w:t>
      </w:r>
      <w:r>
        <w:rPr>
          <w:bCs/>
        </w:rPr>
        <w:t xml:space="preserve"> [2003] OJ L338/1.</w:t>
      </w:r>
      <w:r>
        <w:t xml:space="preserve"> </w:t>
      </w:r>
    </w:p>
  </w:footnote>
  <w:footnote w:id="2">
    <w:p w14:paraId="719C3AE2" w14:textId="77777777" w:rsidR="00A478E6" w:rsidRPr="00946719" w:rsidRDefault="00A478E6" w:rsidP="005766C8">
      <w:pPr>
        <w:pStyle w:val="FootnoteText"/>
        <w:jc w:val="both"/>
      </w:pPr>
      <w:r>
        <w:rPr>
          <w:rStyle w:val="FootnoteReference"/>
        </w:rPr>
        <w:footnoteRef/>
      </w:r>
      <w:r>
        <w:t xml:space="preserve"> </w:t>
      </w:r>
      <w:r w:rsidRPr="00946719">
        <w:rPr>
          <w:bCs/>
        </w:rPr>
        <w:t>Council Regulation (EC) No 4/2009 of 18 December 2008 on jurisdiction, applicable law, recognition and enforcement of decisions and cooperation in matters relating to maintenance obligations [2009] OJ L7/1.</w:t>
      </w:r>
    </w:p>
  </w:footnote>
  <w:footnote w:id="3">
    <w:p w14:paraId="118BE3B8" w14:textId="77777777" w:rsidR="00A478E6" w:rsidRDefault="00A478E6" w:rsidP="005766C8">
      <w:pPr>
        <w:pStyle w:val="FootnoteText"/>
        <w:jc w:val="both"/>
      </w:pPr>
      <w:r>
        <w:rPr>
          <w:rStyle w:val="FootnoteReference"/>
        </w:rPr>
        <w:footnoteRef/>
      </w:r>
      <w:r>
        <w:t xml:space="preserve"> </w:t>
      </w:r>
      <w:r w:rsidRPr="007963EB">
        <w:t xml:space="preserve">See </w:t>
      </w:r>
      <w:r w:rsidRPr="007963EB">
        <w:rPr>
          <w:bCs/>
        </w:rPr>
        <w:t>Council Decision of 9 April 2014 amending Annexes I, II and III to Decision 2011/432/EU on the approval, on behalf of the European Union, of the Hague Convention of 23 November 2007 on the International Recovery of Child Support and Other Forms of Family Maintenance</w:t>
      </w:r>
      <w:r>
        <w:rPr>
          <w:bCs/>
        </w:rPr>
        <w:t xml:space="preserve"> [2014] OJ L114/1 and </w:t>
      </w:r>
      <w:r w:rsidRPr="007963EB">
        <w:rPr>
          <w:bCs/>
        </w:rPr>
        <w:t xml:space="preserve">Council Decision 2011/432/EU of 9 June 2011 on the approval, on behalf of the European Union, of the Hague Convention of 23 November 2007 on the International Recovery of Child Support and Other Forms of Family Maintenance </w:t>
      </w:r>
      <w:r>
        <w:rPr>
          <w:bCs/>
        </w:rPr>
        <w:t xml:space="preserve">[2011] </w:t>
      </w:r>
      <w:r w:rsidRPr="007963EB">
        <w:rPr>
          <w:bCs/>
        </w:rPr>
        <w:t>OJ L192</w:t>
      </w:r>
      <w:r>
        <w:rPr>
          <w:bCs/>
        </w:rPr>
        <w:t>/</w:t>
      </w:r>
      <w:r w:rsidRPr="007963EB">
        <w:rPr>
          <w:bCs/>
        </w:rPr>
        <w:t>39</w:t>
      </w:r>
      <w:r>
        <w:rPr>
          <w:bCs/>
        </w:rPr>
        <w:t xml:space="preserve">. </w:t>
      </w:r>
      <w:r w:rsidR="00034E17" w:rsidRPr="00034E17">
        <w:rPr>
          <w:bCs/>
        </w:rPr>
        <w:t xml:space="preserve">The text of the Hague Maintenance Convention 2007 is available at </w:t>
      </w:r>
      <w:hyperlink r:id="rId2" w:history="1">
        <w:r w:rsidR="00034E17" w:rsidRPr="00034E17">
          <w:rPr>
            <w:rStyle w:val="Hyperlink"/>
            <w:bCs/>
          </w:rPr>
          <w:t>https://www.hcch.net/en/instruments/conventions/full-text/?cid=131</w:t>
        </w:r>
      </w:hyperlink>
      <w:r w:rsidR="00034E17" w:rsidRPr="00034E17">
        <w:rPr>
          <w:bCs/>
        </w:rPr>
        <w:t xml:space="preserve"> accessed 6 April 2017. The Convention is in force in 35 States, see </w:t>
      </w:r>
      <w:hyperlink r:id="rId3" w:history="1">
        <w:r w:rsidR="00034E17" w:rsidRPr="00034E17">
          <w:rPr>
            <w:rStyle w:val="Hyperlink"/>
            <w:bCs/>
          </w:rPr>
          <w:t>https://www.hcch.net/en/instruments/conventions/status-table/?cid=131</w:t>
        </w:r>
      </w:hyperlink>
      <w:r w:rsidR="00034E17" w:rsidRPr="00034E17">
        <w:rPr>
          <w:bCs/>
        </w:rPr>
        <w:t xml:space="preserve"> accessed 6 April 2017.</w:t>
      </w:r>
    </w:p>
  </w:footnote>
  <w:footnote w:id="4">
    <w:p w14:paraId="3EABC7CF" w14:textId="77777777" w:rsidR="00A478E6" w:rsidRDefault="00A478E6" w:rsidP="005766C8">
      <w:pPr>
        <w:pStyle w:val="FootnoteText"/>
        <w:jc w:val="both"/>
      </w:pPr>
      <w:r>
        <w:rPr>
          <w:rStyle w:val="FootnoteReference"/>
        </w:rPr>
        <w:footnoteRef/>
      </w:r>
      <w:r>
        <w:t xml:space="preserve"> </w:t>
      </w:r>
      <w:r w:rsidR="00034E17" w:rsidRPr="00034E17">
        <w:t>This is best done by agreement with the EU.</w:t>
      </w:r>
      <w:r w:rsidR="00034E17">
        <w:t xml:space="preserve"> </w:t>
      </w:r>
      <w:r>
        <w:t xml:space="preserve">For a recent analysis of the breadth of the EU’s external competence in private international law see P </w:t>
      </w:r>
      <w:proofErr w:type="spellStart"/>
      <w:r>
        <w:t>Franzina</w:t>
      </w:r>
      <w:proofErr w:type="spellEnd"/>
      <w:r>
        <w:t xml:space="preserve"> (</w:t>
      </w:r>
      <w:proofErr w:type="spellStart"/>
      <w:r>
        <w:t>ed</w:t>
      </w:r>
      <w:proofErr w:type="spellEnd"/>
      <w:r>
        <w:t xml:space="preserve">) </w:t>
      </w:r>
      <w:r w:rsidRPr="007239A5">
        <w:rPr>
          <w:i/>
        </w:rPr>
        <w:t>The External Dimension of EU Private International Law After Opinion 1/13</w:t>
      </w:r>
      <w:r>
        <w:t xml:space="preserve"> (</w:t>
      </w:r>
      <w:proofErr w:type="spellStart"/>
      <w:r>
        <w:t>Intersentia</w:t>
      </w:r>
      <w:proofErr w:type="spellEnd"/>
      <w:r>
        <w:t xml:space="preserve">, 2017).  </w:t>
      </w:r>
    </w:p>
  </w:footnote>
  <w:footnote w:id="5">
    <w:p w14:paraId="5F1D325B" w14:textId="77777777" w:rsidR="00A478E6" w:rsidRDefault="00A478E6" w:rsidP="005766C8">
      <w:pPr>
        <w:pStyle w:val="FootnoteText"/>
        <w:jc w:val="both"/>
      </w:pPr>
      <w:r>
        <w:rPr>
          <w:rStyle w:val="FootnoteReference"/>
        </w:rPr>
        <w:footnoteRef/>
      </w:r>
      <w:r>
        <w:t xml:space="preserve"> For the text of the Convention and its status see </w:t>
      </w:r>
      <w:proofErr w:type="gramStart"/>
      <w:r>
        <w:t>the</w:t>
      </w:r>
      <w:proofErr w:type="gramEnd"/>
      <w:r>
        <w:t xml:space="preserve"> Hague Conference Child Abduction section at</w:t>
      </w:r>
      <w:r w:rsidRPr="007239A5">
        <w:t xml:space="preserve"> </w:t>
      </w:r>
      <w:hyperlink r:id="rId4" w:history="1">
        <w:r w:rsidRPr="00650D8E">
          <w:rPr>
            <w:rStyle w:val="Hyperlink"/>
          </w:rPr>
          <w:t>https://www.hcch.net/en/instruments/conventions/specialised-sections/child-abduction</w:t>
        </w:r>
      </w:hyperlink>
      <w:r>
        <w:t xml:space="preserve"> accessed 6 April 2017.  </w:t>
      </w:r>
    </w:p>
  </w:footnote>
  <w:footnote w:id="6">
    <w:p w14:paraId="7E21A4F2" w14:textId="77777777" w:rsidR="00C62AB0" w:rsidRDefault="00C62AB0" w:rsidP="00C62AB0">
      <w:pPr>
        <w:pStyle w:val="FootnoteText"/>
        <w:jc w:val="both"/>
      </w:pPr>
      <w:r>
        <w:rPr>
          <w:rStyle w:val="FootnoteReference"/>
        </w:rPr>
        <w:footnoteRef/>
      </w:r>
      <w:r>
        <w:t xml:space="preserve"> The text of the Convention is available at </w:t>
      </w:r>
      <w:hyperlink r:id="rId5" w:history="1">
        <w:r w:rsidRPr="00CC415D">
          <w:rPr>
            <w:rStyle w:val="Hyperlink"/>
          </w:rPr>
          <w:t>https://www.hcch.net/en/instruments/conventions/full-text/?cid=70</w:t>
        </w:r>
      </w:hyperlink>
      <w:r>
        <w:t xml:space="preserve"> and the status table showing there are 46 Contracting States is available at </w:t>
      </w:r>
      <w:hyperlink r:id="rId6" w:history="1">
        <w:r w:rsidRPr="00650D8E">
          <w:rPr>
            <w:rStyle w:val="Hyperlink"/>
          </w:rPr>
          <w:t>https://www.hcch.net/en/instruments/conventions/status-table/?cid=70</w:t>
        </w:r>
      </w:hyperlink>
      <w:r>
        <w:t xml:space="preserve"> both accessed 6 April 2017.</w:t>
      </w:r>
    </w:p>
  </w:footnote>
  <w:footnote w:id="7">
    <w:p w14:paraId="6BC1DA96" w14:textId="304F3DF8" w:rsidR="00A478E6" w:rsidRDefault="00A478E6" w:rsidP="005766C8">
      <w:pPr>
        <w:pStyle w:val="FootnoteText"/>
        <w:jc w:val="both"/>
      </w:pPr>
      <w:r>
        <w:rPr>
          <w:rStyle w:val="FootnoteReference"/>
        </w:rPr>
        <w:footnoteRef/>
      </w:r>
      <w:r>
        <w:t xml:space="preserve"> However, as pointed out by Nigel </w:t>
      </w:r>
      <w:r w:rsidRPr="005D1406">
        <w:t xml:space="preserve">Lowe in his paper in this special issue of </w:t>
      </w:r>
      <w:r w:rsidRPr="005D1406">
        <w:rPr>
          <w:i/>
        </w:rPr>
        <w:t>Child and Family Law Quarterly</w:t>
      </w:r>
      <w:r w:rsidR="002659BC" w:rsidRPr="005D1406">
        <w:t>,</w:t>
      </w:r>
      <w:r w:rsidR="004C1848">
        <w:t xml:space="preserve"> </w:t>
      </w:r>
      <w:r w:rsidR="005D1406" w:rsidRPr="005D1406">
        <w:rPr>
          <w:highlight w:val="yellow"/>
        </w:rPr>
        <w:t>COPY EDITOR TO ADD REFERENCE</w:t>
      </w:r>
      <w:r>
        <w:t xml:space="preserve"> </w:t>
      </w:r>
      <w:r w:rsidR="007C0DAD">
        <w:t>Hague</w:t>
      </w:r>
      <w:r>
        <w:t xml:space="preserve"> 1996 was given force of law in the UK through a</w:t>
      </w:r>
      <w:r w:rsidR="007C0DAD">
        <w:t>n</w:t>
      </w:r>
      <w:r>
        <w:t xml:space="preserve"> </w:t>
      </w:r>
      <w:r w:rsidR="007C0DAD">
        <w:t>SI</w:t>
      </w:r>
      <w:r>
        <w:t xml:space="preserve"> adopted under s 2 of the European Communities Act 1972. Therefore</w:t>
      </w:r>
      <w:r w:rsidR="002659BC">
        <w:t>,</w:t>
      </w:r>
      <w:r>
        <w:t xml:space="preserve"> the method of keeping </w:t>
      </w:r>
      <w:r w:rsidR="007C0DAD">
        <w:t>Hague</w:t>
      </w:r>
      <w:r>
        <w:t xml:space="preserve"> 1996 applicable in UK law after Brexit is </w:t>
      </w:r>
      <w:r w:rsidR="007C0DAD">
        <w:t>part of</w:t>
      </w:r>
      <w:r>
        <w:t xml:space="preserve"> the detail of the Great Repeal Bill.</w:t>
      </w:r>
    </w:p>
  </w:footnote>
  <w:footnote w:id="8">
    <w:p w14:paraId="06EBA44E" w14:textId="77777777" w:rsidR="00A478E6" w:rsidRDefault="00A478E6" w:rsidP="005766C8">
      <w:pPr>
        <w:pStyle w:val="FootnoteText"/>
        <w:jc w:val="both"/>
      </w:pPr>
      <w:r>
        <w:rPr>
          <w:rStyle w:val="FootnoteReference"/>
        </w:rPr>
        <w:footnoteRef/>
      </w:r>
      <w:r>
        <w:t xml:space="preserve"> </w:t>
      </w:r>
      <w:r w:rsidRPr="00FF14B3">
        <w:rPr>
          <w:i/>
          <w:iCs/>
        </w:rPr>
        <w:t xml:space="preserve">Opinion 1/13 (Accession of third States to the Hague Convention), </w:t>
      </w:r>
      <w:r w:rsidRPr="00FF14B3">
        <w:rPr>
          <w:iCs/>
        </w:rPr>
        <w:t>of 14 October 2014</w:t>
      </w:r>
      <w:r>
        <w:rPr>
          <w:iCs/>
        </w:rPr>
        <w:t xml:space="preserve"> </w:t>
      </w:r>
      <w:r w:rsidRPr="00FF14B3">
        <w:rPr>
          <w:iCs/>
        </w:rPr>
        <w:t>EU</w:t>
      </w:r>
      <w:proofErr w:type="gramStart"/>
      <w:r w:rsidRPr="00FF14B3">
        <w:rPr>
          <w:iCs/>
        </w:rPr>
        <w:t>:C:2014:2303</w:t>
      </w:r>
      <w:proofErr w:type="gramEnd"/>
      <w:r>
        <w:t>. S</w:t>
      </w:r>
      <w:r w:rsidRPr="004D1FF4">
        <w:t xml:space="preserve">ee </w:t>
      </w:r>
      <w:r>
        <w:t xml:space="preserve">generally </w:t>
      </w:r>
      <w:proofErr w:type="spellStart"/>
      <w:r w:rsidRPr="004D1FF4">
        <w:t>Franzina</w:t>
      </w:r>
      <w:proofErr w:type="spellEnd"/>
      <w:r w:rsidRPr="004D1FF4">
        <w:t xml:space="preserve"> </w:t>
      </w:r>
      <w:r w:rsidR="00162A7A">
        <w:t xml:space="preserve">above </w:t>
      </w:r>
      <w:proofErr w:type="spellStart"/>
      <w:r w:rsidR="00162A7A">
        <w:t>n</w:t>
      </w:r>
      <w:proofErr w:type="spellEnd"/>
      <w:r w:rsidR="00162A7A">
        <w:t xml:space="preserve"> 4</w:t>
      </w:r>
      <w:r>
        <w:t xml:space="preserve"> and in particular P Beaumont, ‘A critical analysis of the judicial activism of the Court of Justice of the European Union in Opinion 1/13’ 43</w:t>
      </w:r>
      <w:r w:rsidRPr="004D1FF4">
        <w:t xml:space="preserve">.  </w:t>
      </w:r>
    </w:p>
  </w:footnote>
  <w:footnote w:id="9">
    <w:p w14:paraId="190B08E6" w14:textId="77777777" w:rsidR="00A478E6" w:rsidRDefault="00A478E6" w:rsidP="005766C8">
      <w:pPr>
        <w:pStyle w:val="FootnoteText"/>
        <w:jc w:val="both"/>
      </w:pPr>
      <w:r>
        <w:rPr>
          <w:rStyle w:val="FootnoteReference"/>
        </w:rPr>
        <w:footnoteRef/>
      </w:r>
      <w:r>
        <w:t xml:space="preserve"> See Art 38(4) of Hague 1980.</w:t>
      </w:r>
    </w:p>
  </w:footnote>
  <w:footnote w:id="10">
    <w:p w14:paraId="57611ABF" w14:textId="7370627A" w:rsidR="00A478E6" w:rsidRDefault="00A478E6" w:rsidP="005766C8">
      <w:pPr>
        <w:pStyle w:val="FootnoteText"/>
        <w:jc w:val="both"/>
      </w:pPr>
      <w:r>
        <w:rPr>
          <w:rStyle w:val="FootnoteReference"/>
        </w:rPr>
        <w:footnoteRef/>
      </w:r>
      <w:r>
        <w:t xml:space="preserve"> See K </w:t>
      </w:r>
      <w:proofErr w:type="spellStart"/>
      <w:r>
        <w:t>Vandekerckhove</w:t>
      </w:r>
      <w:proofErr w:type="spellEnd"/>
      <w:r>
        <w:t xml:space="preserve">, ‘Consequences of Opinion 1/13 on the Acceptance in the EU of Accession to the Hague Child Abduction Convention’ in </w:t>
      </w:r>
      <w:proofErr w:type="spellStart"/>
      <w:r w:rsidRPr="005A3A6F">
        <w:t>Franzina</w:t>
      </w:r>
      <w:proofErr w:type="spellEnd"/>
      <w:r w:rsidRPr="005A3A6F">
        <w:t xml:space="preserve"> </w:t>
      </w:r>
      <w:r w:rsidR="007C0DAD">
        <w:t>n 4</w:t>
      </w:r>
      <w:r w:rsidR="006F5C24">
        <w:t xml:space="preserve"> above </w:t>
      </w:r>
      <w:r w:rsidR="007C0DAD">
        <w:t>at</w:t>
      </w:r>
      <w:r>
        <w:t xml:space="preserve"> 71.</w:t>
      </w:r>
    </w:p>
  </w:footnote>
  <w:footnote w:id="11">
    <w:p w14:paraId="434BFE42" w14:textId="77777777" w:rsidR="00A478E6" w:rsidRDefault="00A478E6" w:rsidP="005766C8">
      <w:pPr>
        <w:pStyle w:val="FootnoteText"/>
        <w:jc w:val="both"/>
      </w:pPr>
      <w:r>
        <w:rPr>
          <w:rStyle w:val="FootnoteReference"/>
        </w:rPr>
        <w:footnoteRef/>
      </w:r>
      <w:r>
        <w:t xml:space="preserve"> See </w:t>
      </w:r>
      <w:proofErr w:type="spellStart"/>
      <w:r>
        <w:t>eg</w:t>
      </w:r>
      <w:proofErr w:type="spellEnd"/>
      <w:r>
        <w:t xml:space="preserve"> Art 1(2) of </w:t>
      </w:r>
      <w:r w:rsidRPr="00CA25AF">
        <w:t xml:space="preserve"> </w:t>
      </w:r>
      <w:r w:rsidRPr="00CA25AF">
        <w:rPr>
          <w:bCs/>
        </w:rPr>
        <w:t>Council Decision (EU) 2015/1023 of 15 June 2015 authorising certain Member States to accept, in the interest of the European Union, the accession of Andorra to the 1980 Hague Convention on the Civil Aspects of International Child Abduction</w:t>
      </w:r>
      <w:r>
        <w:rPr>
          <w:bCs/>
        </w:rPr>
        <w:t xml:space="preserve"> [2015] OJ L163/29.</w:t>
      </w:r>
    </w:p>
  </w:footnote>
  <w:footnote w:id="12">
    <w:p w14:paraId="556600E4" w14:textId="77777777" w:rsidR="00A478E6" w:rsidRDefault="00A478E6" w:rsidP="005766C8">
      <w:pPr>
        <w:pStyle w:val="FootnoteText"/>
        <w:jc w:val="both"/>
      </w:pPr>
      <w:r>
        <w:rPr>
          <w:rStyle w:val="FootnoteReference"/>
        </w:rPr>
        <w:footnoteRef/>
      </w:r>
      <w:r>
        <w:t xml:space="preserve"> As required by Art 38(4) of Hague 1980.</w:t>
      </w:r>
    </w:p>
  </w:footnote>
  <w:footnote w:id="13">
    <w:p w14:paraId="453D1FA4" w14:textId="77777777" w:rsidR="00A478E6" w:rsidRDefault="00A478E6" w:rsidP="005766C8">
      <w:pPr>
        <w:pStyle w:val="FootnoteText"/>
        <w:jc w:val="both"/>
      </w:pPr>
      <w:r>
        <w:rPr>
          <w:rStyle w:val="FootnoteReference"/>
        </w:rPr>
        <w:footnoteRef/>
      </w:r>
      <w:r>
        <w:t xml:space="preserve"> </w:t>
      </w:r>
      <w:r w:rsidR="000B4CB8">
        <w:t>T</w:t>
      </w:r>
      <w:r>
        <w:t>he EU accepts that earlier declarations of acceptance made by some EU Member States</w:t>
      </w:r>
      <w:r w:rsidR="000B4CB8">
        <w:t>,</w:t>
      </w:r>
      <w:r>
        <w:t xml:space="preserve"> in relation to the acceding States for which the Council has authorised</w:t>
      </w:r>
      <w:r w:rsidR="000B4CB8">
        <w:t xml:space="preserve"> other</w:t>
      </w:r>
      <w:r>
        <w:t xml:space="preserve"> EU Member States to accede</w:t>
      </w:r>
      <w:r w:rsidR="000B4CB8">
        <w:t>,</w:t>
      </w:r>
      <w:r>
        <w:t xml:space="preserve"> are still valid and binding in public international law, see </w:t>
      </w:r>
      <w:proofErr w:type="spellStart"/>
      <w:r>
        <w:t>eg</w:t>
      </w:r>
      <w:proofErr w:type="spellEnd"/>
      <w:r>
        <w:t xml:space="preserve"> Art 4 and recital 12 of Council Decision (EU) 2015/1023</w:t>
      </w:r>
      <w:r w:rsidR="007739B9">
        <w:t xml:space="preserve"> n 11</w:t>
      </w:r>
      <w:r>
        <w:t xml:space="preserve"> above.</w:t>
      </w:r>
    </w:p>
  </w:footnote>
  <w:footnote w:id="14">
    <w:p w14:paraId="54F3B73C" w14:textId="3876518D" w:rsidR="00D93897" w:rsidRDefault="00D93897">
      <w:pPr>
        <w:pStyle w:val="FootnoteText"/>
      </w:pPr>
      <w:r>
        <w:rPr>
          <w:rStyle w:val="FootnoteReference"/>
        </w:rPr>
        <w:footnoteRef/>
      </w:r>
      <w:r>
        <w:t xml:space="preserve"> See </w:t>
      </w:r>
      <w:proofErr w:type="spellStart"/>
      <w:r w:rsidRPr="00D93897">
        <w:t>Vandekerckhove</w:t>
      </w:r>
      <w:proofErr w:type="spellEnd"/>
      <w:r>
        <w:t xml:space="preserve"> n 10 </w:t>
      </w:r>
      <w:r w:rsidR="001C4EA6">
        <w:t xml:space="preserve">above </w:t>
      </w:r>
      <w:r>
        <w:t>at 74-75;</w:t>
      </w:r>
      <w:r w:rsidRPr="00D93897">
        <w:t xml:space="preserve"> </w:t>
      </w:r>
      <w:r>
        <w:t>P</w:t>
      </w:r>
      <w:r w:rsidRPr="00D93897">
        <w:t xml:space="preserve"> Beaumont, L Walker and J Holliday, ‘Conflicts of EU courts on child abduction: the reality of Article 11(6)-(8) Brussels </w:t>
      </w:r>
      <w:proofErr w:type="spellStart"/>
      <w:r w:rsidRPr="00D93897">
        <w:t>IIa</w:t>
      </w:r>
      <w:proofErr w:type="spellEnd"/>
      <w:r w:rsidRPr="00D93897">
        <w:t xml:space="preserve"> proceedings across the EU’ (2016) 12 </w:t>
      </w:r>
      <w:r w:rsidRPr="00D93897">
        <w:rPr>
          <w:i/>
        </w:rPr>
        <w:t>Journal of Private International Law</w:t>
      </w:r>
      <w:r w:rsidRPr="00D93897">
        <w:t xml:space="preserve"> 211</w:t>
      </w:r>
      <w:r>
        <w:t xml:space="preserve"> </w:t>
      </w:r>
      <w:r w:rsidR="004C1848">
        <w:t xml:space="preserve">(hereafter Beaumont et al, (2016) </w:t>
      </w:r>
      <w:r w:rsidR="004C1848" w:rsidRPr="007C5B19">
        <w:rPr>
          <w:i/>
        </w:rPr>
        <w:t>JPIL</w:t>
      </w:r>
      <w:r w:rsidR="007C5B19">
        <w:t xml:space="preserve"> 211</w:t>
      </w:r>
      <w:r w:rsidR="004C1848">
        <w:t xml:space="preserve">) </w:t>
      </w:r>
      <w:r>
        <w:t xml:space="preserve">at 250-251; and </w:t>
      </w:r>
      <w:r w:rsidRPr="00D93897">
        <w:t xml:space="preserve">P Beaumont, L Walker and J Holliday, ‘Parental Responsibility and International Child Abduction in the proposed recast of Brussels </w:t>
      </w:r>
      <w:proofErr w:type="spellStart"/>
      <w:r w:rsidRPr="00D93897">
        <w:t>IIa</w:t>
      </w:r>
      <w:proofErr w:type="spellEnd"/>
      <w:r w:rsidRPr="00D93897">
        <w:t xml:space="preserve"> Regulation and the effect of Brexit on future child abduction proceedings’ (2016) </w:t>
      </w:r>
      <w:r w:rsidRPr="00D93897">
        <w:rPr>
          <w:i/>
        </w:rPr>
        <w:t xml:space="preserve">International Family Law </w:t>
      </w:r>
      <w:r w:rsidRPr="00D93897">
        <w:t>307</w:t>
      </w:r>
      <w:r w:rsidR="004C1848">
        <w:t xml:space="preserve"> (hereafter Beaumont et al, (2016) </w:t>
      </w:r>
      <w:r w:rsidR="004C1848" w:rsidRPr="007C5B19">
        <w:rPr>
          <w:i/>
        </w:rPr>
        <w:t>IFL</w:t>
      </w:r>
      <w:r w:rsidR="007C5B19">
        <w:t xml:space="preserve"> 307</w:t>
      </w:r>
      <w:r w:rsidR="004C1848">
        <w:t>)</w:t>
      </w:r>
      <w:r w:rsidRPr="00D93897">
        <w:t xml:space="preserve"> at</w:t>
      </w:r>
      <w:r>
        <w:t xml:space="preserve"> 314-315. </w:t>
      </w:r>
    </w:p>
  </w:footnote>
  <w:footnote w:id="15">
    <w:p w14:paraId="24C95EC7" w14:textId="77777777" w:rsidR="00004670" w:rsidRDefault="00004670" w:rsidP="00004670">
      <w:pPr>
        <w:pStyle w:val="FootnoteText"/>
        <w:jc w:val="both"/>
      </w:pPr>
      <w:r>
        <w:rPr>
          <w:rStyle w:val="FootnoteReference"/>
        </w:rPr>
        <w:footnoteRef/>
      </w:r>
      <w:r>
        <w:t xml:space="preserve"> </w:t>
      </w:r>
      <w:r w:rsidRPr="00413F39">
        <w:rPr>
          <w:i/>
        </w:rPr>
        <w:t>The United Kingdom’s exit from and new partnership with the European Union</w:t>
      </w:r>
      <w:r>
        <w:t xml:space="preserve"> (HM Government, 2017) 12.2.</w:t>
      </w:r>
    </w:p>
  </w:footnote>
  <w:footnote w:id="16">
    <w:p w14:paraId="5C45B3EF" w14:textId="77777777" w:rsidR="00A478E6" w:rsidRDefault="00A478E6" w:rsidP="005766C8">
      <w:pPr>
        <w:pStyle w:val="FootnoteText"/>
        <w:jc w:val="both"/>
      </w:pPr>
      <w:r>
        <w:rPr>
          <w:rStyle w:val="FootnoteReference"/>
        </w:rPr>
        <w:footnoteRef/>
      </w:r>
      <w:r>
        <w:t xml:space="preserve"> </w:t>
      </w:r>
      <w:r w:rsidR="00424577">
        <w:t>A</w:t>
      </w:r>
      <w:r>
        <w:t xml:space="preserve"> paper giving a full analysis of the data and all the national reports from the EU Member States upon which the analysis was based are available on the Centre for Private International Law</w:t>
      </w:r>
      <w:r w:rsidR="00424577">
        <w:t xml:space="preserve"> </w:t>
      </w:r>
      <w:r>
        <w:t xml:space="preserve">website at </w:t>
      </w:r>
      <w:hyperlink r:id="rId7" w:history="1">
        <w:r w:rsidRPr="002661C0">
          <w:rPr>
            <w:rStyle w:val="Hyperlink"/>
          </w:rPr>
          <w:t>http://www.abdn.ac.uk/law/research/conflicts-of-eu-courts-on-child-abduction-417.php</w:t>
        </w:r>
      </w:hyperlink>
      <w:r>
        <w:t xml:space="preserve"> accessed 24 March 2017.</w:t>
      </w:r>
    </w:p>
  </w:footnote>
  <w:footnote w:id="17">
    <w:p w14:paraId="7914C823" w14:textId="2130CEB4" w:rsidR="00A478E6" w:rsidRDefault="00A478E6" w:rsidP="005766C8">
      <w:pPr>
        <w:pStyle w:val="FootnoteText"/>
        <w:jc w:val="both"/>
      </w:pPr>
      <w:r>
        <w:rPr>
          <w:rStyle w:val="FootnoteReference"/>
        </w:rPr>
        <w:footnoteRef/>
      </w:r>
      <w:r>
        <w:t xml:space="preserve"> </w:t>
      </w:r>
      <w:r w:rsidRPr="0072111E">
        <w:t>Beaumont</w:t>
      </w:r>
      <w:r w:rsidR="00FF597F">
        <w:t xml:space="preserve"> et al n 14</w:t>
      </w:r>
      <w:r w:rsidR="001C4EA6">
        <w:t xml:space="preserve"> above</w:t>
      </w:r>
      <w:r w:rsidR="004C1848">
        <w:t>,</w:t>
      </w:r>
      <w:r w:rsidRPr="0072111E">
        <w:t xml:space="preserve"> </w:t>
      </w:r>
      <w:r w:rsidR="004C1848" w:rsidRPr="00D93897">
        <w:t xml:space="preserve">(2016) </w:t>
      </w:r>
      <w:r w:rsidR="007C5B19" w:rsidRPr="007C5B19">
        <w:rPr>
          <w:i/>
        </w:rPr>
        <w:t>JPIL</w:t>
      </w:r>
      <w:r w:rsidR="007C5B19">
        <w:t xml:space="preserve"> </w:t>
      </w:r>
      <w:r w:rsidR="004C1848" w:rsidRPr="00D93897">
        <w:t>211</w:t>
      </w:r>
      <w:r w:rsidR="004C1848">
        <w:t xml:space="preserve"> </w:t>
      </w:r>
      <w:r>
        <w:t>at 258</w:t>
      </w:r>
      <w:r w:rsidRPr="0072111E">
        <w:t>.</w:t>
      </w:r>
    </w:p>
  </w:footnote>
  <w:footnote w:id="18">
    <w:p w14:paraId="2D4EF1A2" w14:textId="77777777" w:rsidR="00A478E6" w:rsidRDefault="00A478E6" w:rsidP="005766C8">
      <w:pPr>
        <w:pStyle w:val="FootnoteText"/>
        <w:jc w:val="both"/>
      </w:pPr>
      <w:r>
        <w:rPr>
          <w:rStyle w:val="FootnoteReference"/>
        </w:rPr>
        <w:footnoteRef/>
      </w:r>
      <w:r>
        <w:t xml:space="preserve"> Ibid at 213-214.</w:t>
      </w:r>
    </w:p>
  </w:footnote>
  <w:footnote w:id="19">
    <w:p w14:paraId="4898A4B3" w14:textId="77777777" w:rsidR="00A478E6" w:rsidRDefault="00A478E6" w:rsidP="005766C8">
      <w:pPr>
        <w:pStyle w:val="FootnoteText"/>
        <w:jc w:val="both"/>
      </w:pPr>
      <w:r>
        <w:rPr>
          <w:rStyle w:val="FootnoteReference"/>
        </w:rPr>
        <w:footnoteRef/>
      </w:r>
      <w:r>
        <w:t xml:space="preserve"> Ibid at 216. This relatively high figure for the grave risk of harm defence within the EU and other qualitative data from the study indicate that Art 11(4) of Brussels </w:t>
      </w:r>
      <w:proofErr w:type="spellStart"/>
      <w:r>
        <w:t>IIa</w:t>
      </w:r>
      <w:proofErr w:type="spellEnd"/>
      <w:r>
        <w:t xml:space="preserve"> is not being applied properly within the EU to reduce the number of non-return orders on Art 13(1)(b), see ibid at 218-9 and see also evidence from some EUPILLAR national reports that the extra requirements in intra-EU cases for child abduction, like Art 11(4) of Brussels </w:t>
      </w:r>
      <w:proofErr w:type="spellStart"/>
      <w:r>
        <w:t>IIa</w:t>
      </w:r>
      <w:proofErr w:type="spellEnd"/>
      <w:r>
        <w:t xml:space="preserve">, are not always being referred to by national judges, see </w:t>
      </w:r>
      <w:r w:rsidR="00204DD5">
        <w:t xml:space="preserve">P </w:t>
      </w:r>
      <w:r>
        <w:t xml:space="preserve">Beaumont, </w:t>
      </w:r>
      <w:r w:rsidR="00204DD5">
        <w:t xml:space="preserve">M </w:t>
      </w:r>
      <w:proofErr w:type="spellStart"/>
      <w:r>
        <w:t>Danov</w:t>
      </w:r>
      <w:proofErr w:type="spellEnd"/>
      <w:r w:rsidR="00204DD5">
        <w:t>, K</w:t>
      </w:r>
      <w:r w:rsidR="008E66CA">
        <w:t xml:space="preserve"> </w:t>
      </w:r>
      <w:r>
        <w:t xml:space="preserve">Trimmings and </w:t>
      </w:r>
      <w:r w:rsidR="00204DD5">
        <w:t xml:space="preserve">B </w:t>
      </w:r>
      <w:proofErr w:type="spellStart"/>
      <w:r>
        <w:t>Y</w:t>
      </w:r>
      <w:r>
        <w:rPr>
          <w:rFonts w:cs="Calibri"/>
        </w:rPr>
        <w:t>ü</w:t>
      </w:r>
      <w:r>
        <w:t>ksel</w:t>
      </w:r>
      <w:proofErr w:type="spellEnd"/>
      <w:r>
        <w:t xml:space="preserve">, </w:t>
      </w:r>
      <w:r w:rsidRPr="00336926">
        <w:rPr>
          <w:i/>
        </w:rPr>
        <w:t>Cross-Border Litigation in Europe</w:t>
      </w:r>
      <w:r>
        <w:t xml:space="preserve"> (Hart, 2017) </w:t>
      </w:r>
      <w:proofErr w:type="spellStart"/>
      <w:r>
        <w:t>esp</w:t>
      </w:r>
      <w:proofErr w:type="spellEnd"/>
      <w:r>
        <w:t xml:space="preserve"> Chapters 5 and 26.</w:t>
      </w:r>
    </w:p>
  </w:footnote>
  <w:footnote w:id="20">
    <w:p w14:paraId="22F3407E" w14:textId="69A5D171" w:rsidR="00A478E6" w:rsidRDefault="00A478E6" w:rsidP="005766C8">
      <w:pPr>
        <w:pStyle w:val="FootnoteText"/>
        <w:jc w:val="both"/>
      </w:pPr>
      <w:r>
        <w:rPr>
          <w:rStyle w:val="FootnoteReference"/>
        </w:rPr>
        <w:footnoteRef/>
      </w:r>
      <w:r>
        <w:t xml:space="preserve"> </w:t>
      </w:r>
      <w:r w:rsidRPr="00E606EB">
        <w:t xml:space="preserve">See Beaumont et al, n </w:t>
      </w:r>
      <w:r>
        <w:t>1</w:t>
      </w:r>
      <w:r w:rsidR="00FF597F">
        <w:t>4</w:t>
      </w:r>
      <w:r w:rsidRPr="00E606EB">
        <w:t xml:space="preserve"> </w:t>
      </w:r>
      <w:r w:rsidR="001C4EA6">
        <w:t>above</w:t>
      </w:r>
      <w:r w:rsidR="004C1848">
        <w:t xml:space="preserve">, </w:t>
      </w:r>
      <w:r w:rsidR="004C1848" w:rsidRPr="00D93897">
        <w:t xml:space="preserve">(2016) </w:t>
      </w:r>
      <w:r w:rsidR="004C1848" w:rsidRPr="007C5B19">
        <w:rPr>
          <w:i/>
        </w:rPr>
        <w:t>JPIL</w:t>
      </w:r>
      <w:r w:rsidR="004C1848">
        <w:t xml:space="preserve"> </w:t>
      </w:r>
      <w:r w:rsidR="004C1848" w:rsidRPr="00D93897">
        <w:t>211</w:t>
      </w:r>
      <w:r w:rsidR="004C1848">
        <w:t xml:space="preserve"> </w:t>
      </w:r>
      <w:r w:rsidRPr="00E606EB">
        <w:t>at</w:t>
      </w:r>
      <w:r>
        <w:t xml:space="preserve"> 224-225.</w:t>
      </w:r>
    </w:p>
  </w:footnote>
  <w:footnote w:id="21">
    <w:p w14:paraId="68FDF6F7" w14:textId="77777777" w:rsidR="00A478E6" w:rsidRDefault="00A478E6" w:rsidP="005766C8">
      <w:pPr>
        <w:pStyle w:val="FootnoteText"/>
        <w:jc w:val="both"/>
      </w:pPr>
      <w:r>
        <w:rPr>
          <w:rStyle w:val="FootnoteReference"/>
        </w:rPr>
        <w:footnoteRef/>
      </w:r>
      <w:r>
        <w:t xml:space="preserve"> Ibid at 227.</w:t>
      </w:r>
    </w:p>
  </w:footnote>
  <w:footnote w:id="22">
    <w:p w14:paraId="71F84FB9" w14:textId="77777777" w:rsidR="00A478E6" w:rsidRDefault="00A478E6" w:rsidP="005766C8">
      <w:pPr>
        <w:pStyle w:val="FootnoteText"/>
        <w:jc w:val="both"/>
      </w:pPr>
      <w:r>
        <w:rPr>
          <w:rStyle w:val="FootnoteReference"/>
        </w:rPr>
        <w:footnoteRef/>
      </w:r>
      <w:r>
        <w:t xml:space="preserve"> Ibid at 229.</w:t>
      </w:r>
    </w:p>
  </w:footnote>
  <w:footnote w:id="23">
    <w:p w14:paraId="5E175EEC" w14:textId="77777777" w:rsidR="00A478E6" w:rsidRDefault="00A478E6" w:rsidP="005766C8">
      <w:pPr>
        <w:pStyle w:val="FootnoteText"/>
        <w:jc w:val="both"/>
      </w:pPr>
      <w:r>
        <w:rPr>
          <w:rStyle w:val="FootnoteReference"/>
        </w:rPr>
        <w:footnoteRef/>
      </w:r>
      <w:r>
        <w:t xml:space="preserve"> Ibid at 230.</w:t>
      </w:r>
    </w:p>
  </w:footnote>
  <w:footnote w:id="24">
    <w:p w14:paraId="41A1612C" w14:textId="77777777" w:rsidR="00A478E6" w:rsidRDefault="00A478E6" w:rsidP="005766C8">
      <w:pPr>
        <w:pStyle w:val="FootnoteText"/>
        <w:jc w:val="both"/>
      </w:pPr>
      <w:r>
        <w:rPr>
          <w:rStyle w:val="FootnoteReference"/>
        </w:rPr>
        <w:footnoteRef/>
      </w:r>
      <w:r>
        <w:t xml:space="preserve"> Ibid at 234-235. There were at least 3 other cases where the child was given the opportunity to be heard but it was prevented by the abducting parent or it was not clear if it transpired, ibid.</w:t>
      </w:r>
    </w:p>
  </w:footnote>
  <w:footnote w:id="25">
    <w:p w14:paraId="67199BDD" w14:textId="77777777" w:rsidR="00A478E6" w:rsidRDefault="00A478E6" w:rsidP="005766C8">
      <w:pPr>
        <w:pStyle w:val="FootnoteText"/>
        <w:jc w:val="both"/>
      </w:pPr>
      <w:r>
        <w:rPr>
          <w:rStyle w:val="FootnoteReference"/>
        </w:rPr>
        <w:footnoteRef/>
      </w:r>
      <w:r>
        <w:t xml:space="preserve"> Ibid at 241.</w:t>
      </w:r>
    </w:p>
  </w:footnote>
  <w:footnote w:id="26">
    <w:p w14:paraId="5C7D670B" w14:textId="77777777" w:rsidR="00A478E6" w:rsidRDefault="00A478E6" w:rsidP="005766C8">
      <w:pPr>
        <w:pStyle w:val="FootnoteText"/>
        <w:jc w:val="both"/>
      </w:pPr>
      <w:r>
        <w:rPr>
          <w:rStyle w:val="FootnoteReference"/>
        </w:rPr>
        <w:footnoteRef/>
      </w:r>
      <w:r>
        <w:t xml:space="preserve"> Ibid at 242-246.</w:t>
      </w:r>
    </w:p>
  </w:footnote>
  <w:footnote w:id="27">
    <w:p w14:paraId="51E6F134" w14:textId="657A38C4" w:rsidR="00A478E6" w:rsidRPr="00040F1C" w:rsidRDefault="00A478E6" w:rsidP="005766C8">
      <w:pPr>
        <w:pStyle w:val="FootnoteText"/>
        <w:jc w:val="both"/>
      </w:pPr>
      <w:r>
        <w:rPr>
          <w:rStyle w:val="FootnoteReference"/>
        </w:rPr>
        <w:footnoteRef/>
      </w:r>
      <w:r>
        <w:t xml:space="preserve"> Thalia Kruger and </w:t>
      </w:r>
      <w:proofErr w:type="spellStart"/>
      <w:r>
        <w:t>Liselot</w:t>
      </w:r>
      <w:proofErr w:type="spellEnd"/>
      <w:r>
        <w:t xml:space="preserve"> </w:t>
      </w:r>
      <w:proofErr w:type="spellStart"/>
      <w:r>
        <w:t>Samyn</w:t>
      </w:r>
      <w:proofErr w:type="spellEnd"/>
      <w:r>
        <w:t xml:space="preserve">, </w:t>
      </w:r>
      <w:r w:rsidR="009F19B6">
        <w:t>‘</w:t>
      </w:r>
      <w:r>
        <w:t xml:space="preserve">Brussels II </w:t>
      </w:r>
      <w:proofErr w:type="spellStart"/>
      <w:r>
        <w:t>bis</w:t>
      </w:r>
      <w:proofErr w:type="spellEnd"/>
      <w:r>
        <w:t>: successes and suggested improvements</w:t>
      </w:r>
      <w:r w:rsidR="009F19B6">
        <w:t>’</w:t>
      </w:r>
      <w:r>
        <w:t xml:space="preserve"> (2016) </w:t>
      </w:r>
      <w:r w:rsidRPr="00040F1C">
        <w:t xml:space="preserve">12 </w:t>
      </w:r>
      <w:r w:rsidRPr="00040F1C">
        <w:rPr>
          <w:i/>
        </w:rPr>
        <w:t>Journal of Private International Law</w:t>
      </w:r>
      <w:r>
        <w:rPr>
          <w:i/>
        </w:rPr>
        <w:t xml:space="preserve"> </w:t>
      </w:r>
      <w:r w:rsidRPr="00040F1C">
        <w:t>132</w:t>
      </w:r>
      <w:r>
        <w:t xml:space="preserve"> at 159 (footnote omitted and words in brackets added by this author).</w:t>
      </w:r>
    </w:p>
  </w:footnote>
  <w:footnote w:id="28">
    <w:p w14:paraId="23C03A6C" w14:textId="1CF0B786" w:rsidR="00486CEA" w:rsidRDefault="00486CEA" w:rsidP="005766C8">
      <w:pPr>
        <w:pStyle w:val="FootnoteText"/>
        <w:jc w:val="both"/>
      </w:pPr>
      <w:r>
        <w:rPr>
          <w:rStyle w:val="FootnoteReference"/>
        </w:rPr>
        <w:footnoteRef/>
      </w:r>
      <w:r>
        <w:t xml:space="preserve"> See </w:t>
      </w:r>
      <w:r w:rsidR="0035234D" w:rsidRPr="0035234D">
        <w:t xml:space="preserve">Commission’s Proposal for a Recast of Brussels </w:t>
      </w:r>
      <w:proofErr w:type="spellStart"/>
      <w:r w:rsidR="0035234D" w:rsidRPr="0035234D">
        <w:t>IIa</w:t>
      </w:r>
      <w:proofErr w:type="spellEnd"/>
      <w:r w:rsidR="0035234D" w:rsidRPr="0035234D">
        <w:t xml:space="preserve"> 30 June 2016 </w:t>
      </w:r>
      <w:proofErr w:type="gramStart"/>
      <w:r w:rsidR="0035234D" w:rsidRPr="0035234D">
        <w:t>COM(</w:t>
      </w:r>
      <w:proofErr w:type="gramEnd"/>
      <w:r w:rsidR="0035234D" w:rsidRPr="0035234D">
        <w:t>2016) Final 411. The effects of this change are explained in Beaumont</w:t>
      </w:r>
      <w:r w:rsidR="00FF597F">
        <w:t xml:space="preserve"> et al, n 14</w:t>
      </w:r>
      <w:r w:rsidR="0035234D" w:rsidRPr="0035234D">
        <w:t xml:space="preserve"> </w:t>
      </w:r>
      <w:r w:rsidR="001C4EA6">
        <w:t>above</w:t>
      </w:r>
      <w:r w:rsidR="004C1848">
        <w:t xml:space="preserve">, </w:t>
      </w:r>
      <w:r w:rsidR="004C1848" w:rsidRPr="00D93897">
        <w:t xml:space="preserve">(2016) </w:t>
      </w:r>
      <w:r w:rsidR="004C1848" w:rsidRPr="007C5B19">
        <w:rPr>
          <w:i/>
        </w:rPr>
        <w:t>IFL</w:t>
      </w:r>
      <w:r w:rsidR="004C1848">
        <w:t xml:space="preserve"> </w:t>
      </w:r>
      <w:r w:rsidR="0035234D" w:rsidRPr="0035234D">
        <w:t xml:space="preserve">307 at </w:t>
      </w:r>
      <w:r w:rsidR="0035234D">
        <w:t>309-313</w:t>
      </w:r>
      <w:r w:rsidR="004C1848">
        <w:t>. S</w:t>
      </w:r>
      <w:r w:rsidR="0035234D" w:rsidRPr="0035234D">
        <w:t>ee also for a slightly updated version</w:t>
      </w:r>
      <w:r w:rsidR="004C1848">
        <w:t>,</w:t>
      </w:r>
      <w:r w:rsidR="0035234D" w:rsidRPr="0035234D">
        <w:t xml:space="preserve"> Working Paper No. 2016/6 </w:t>
      </w:r>
      <w:r w:rsidR="00562AB7">
        <w:t>‘</w:t>
      </w:r>
      <w:r w:rsidR="0035234D" w:rsidRPr="0035234D">
        <w:t xml:space="preserve">Parental Responsibility and International Child Abduction in the proposed recast of Brussels </w:t>
      </w:r>
      <w:proofErr w:type="spellStart"/>
      <w:r w:rsidR="0035234D" w:rsidRPr="0035234D">
        <w:t>IIa</w:t>
      </w:r>
      <w:proofErr w:type="spellEnd"/>
      <w:r w:rsidR="0035234D" w:rsidRPr="0035234D">
        <w:t xml:space="preserve"> Regulation and the effect of Brexit on future child abduction proceedings</w:t>
      </w:r>
      <w:r w:rsidR="00562AB7">
        <w:t>’</w:t>
      </w:r>
      <w:r w:rsidR="0035234D" w:rsidRPr="0035234D">
        <w:t xml:space="preserve"> available at </w:t>
      </w:r>
      <w:hyperlink r:id="rId8" w:history="1">
        <w:r w:rsidR="0035234D" w:rsidRPr="0035234D">
          <w:rPr>
            <w:rStyle w:val="Hyperlink"/>
          </w:rPr>
          <w:t>http://www.abdn.ac.uk/law/research/working-papers-455.php</w:t>
        </w:r>
      </w:hyperlink>
      <w:r w:rsidR="0035234D" w:rsidRPr="0035234D">
        <w:t xml:space="preserve"> accessed on 24 March 2017.</w:t>
      </w:r>
    </w:p>
  </w:footnote>
  <w:footnote w:id="29">
    <w:p w14:paraId="208E159B" w14:textId="77777777" w:rsidR="0035234D" w:rsidRDefault="0035234D" w:rsidP="005766C8">
      <w:pPr>
        <w:pStyle w:val="FootnoteText"/>
        <w:jc w:val="both"/>
      </w:pPr>
      <w:r>
        <w:rPr>
          <w:rStyle w:val="FootnoteReference"/>
        </w:rPr>
        <w:footnoteRef/>
      </w:r>
      <w:r>
        <w:t xml:space="preserve"> Art 7 of Hague 1996</w:t>
      </w:r>
      <w:r w:rsidR="006C4B49">
        <w:t>,</w:t>
      </w:r>
      <w:r>
        <w:t xml:space="preserve"> in a similar way to Art 10 of Brussels </w:t>
      </w:r>
      <w:proofErr w:type="spellStart"/>
      <w:r>
        <w:t>IIa</w:t>
      </w:r>
      <w:proofErr w:type="spellEnd"/>
      <w:r w:rsidR="006C4B49">
        <w:t>,</w:t>
      </w:r>
      <w:r>
        <w:t xml:space="preserve"> preserves the jurisdiction of </w:t>
      </w:r>
      <w:r w:rsidR="004639E1">
        <w:t xml:space="preserve">the courts of the habitual residence of the child before the abduction to decide on parental responsibility/access until the child becomes habitually resident in the country where he or she was abducted to and certain other conditions are met to ensure respect for Hague 1980 but wisely does not create an override system in relation to a Hague 1980 non-return order. </w:t>
      </w:r>
    </w:p>
  </w:footnote>
  <w:footnote w:id="30">
    <w:p w14:paraId="05DFA305" w14:textId="60B5D975" w:rsidR="00A478E6" w:rsidRDefault="00A478E6" w:rsidP="005766C8">
      <w:pPr>
        <w:pStyle w:val="FootnoteText"/>
        <w:jc w:val="both"/>
      </w:pPr>
      <w:r>
        <w:rPr>
          <w:rStyle w:val="FootnoteReference"/>
        </w:rPr>
        <w:footnoteRef/>
      </w:r>
      <w:r>
        <w:t xml:space="preserve"> See Beaumont et al, </w:t>
      </w:r>
      <w:r w:rsidR="00F5104F" w:rsidRPr="00F5104F">
        <w:t xml:space="preserve">n 14 </w:t>
      </w:r>
      <w:r w:rsidR="00F5104F">
        <w:t>above</w:t>
      </w:r>
      <w:r w:rsidR="004C1848">
        <w:t xml:space="preserve">, </w:t>
      </w:r>
      <w:r w:rsidR="004C1848" w:rsidRPr="00D93897">
        <w:t xml:space="preserve">(2016) </w:t>
      </w:r>
      <w:r w:rsidR="004C1848" w:rsidRPr="007C5B19">
        <w:rPr>
          <w:i/>
        </w:rPr>
        <w:t>JPIL</w:t>
      </w:r>
      <w:r w:rsidR="004C1848">
        <w:t xml:space="preserve"> </w:t>
      </w:r>
      <w:r w:rsidR="004C1848" w:rsidRPr="00D93897">
        <w:t>211</w:t>
      </w:r>
      <w:r w:rsidR="004C1848">
        <w:t xml:space="preserve"> </w:t>
      </w:r>
      <w:r>
        <w:t>at 219-221.</w:t>
      </w:r>
    </w:p>
  </w:footnote>
  <w:footnote w:id="31">
    <w:p w14:paraId="6F7DA3C5" w14:textId="7C185D02" w:rsidR="00A478E6" w:rsidRDefault="00A478E6" w:rsidP="005766C8">
      <w:pPr>
        <w:pStyle w:val="FootnoteText"/>
        <w:jc w:val="both"/>
      </w:pPr>
      <w:r>
        <w:rPr>
          <w:rStyle w:val="FootnoteReference"/>
        </w:rPr>
        <w:footnoteRef/>
      </w:r>
      <w:r>
        <w:t xml:space="preserve"> Commission’s Proposal</w:t>
      </w:r>
      <w:r w:rsidR="006C4B49">
        <w:t>, n 2</w:t>
      </w:r>
      <w:r w:rsidR="004168E6">
        <w:t>8</w:t>
      </w:r>
      <w:r w:rsidR="006C4B49">
        <w:t xml:space="preserve"> above</w:t>
      </w:r>
      <w:r>
        <w:t xml:space="preserve">. The effects of this change are explained in </w:t>
      </w:r>
      <w:r w:rsidRPr="0075161A">
        <w:t>Beaumont</w:t>
      </w:r>
      <w:r w:rsidR="00F5104F">
        <w:t xml:space="preserve"> et al</w:t>
      </w:r>
      <w:r w:rsidRPr="0075161A">
        <w:t>,</w:t>
      </w:r>
      <w:r w:rsidR="002D78E5">
        <w:t xml:space="preserve"> n 14 above</w:t>
      </w:r>
      <w:r w:rsidRPr="0075161A">
        <w:t xml:space="preserve"> (2016) </w:t>
      </w:r>
      <w:r w:rsidRPr="007C5B19">
        <w:rPr>
          <w:i/>
        </w:rPr>
        <w:t>IF</w:t>
      </w:r>
      <w:r w:rsidR="00204DD5" w:rsidRPr="007C5B19">
        <w:rPr>
          <w:i/>
        </w:rPr>
        <w:t>L</w:t>
      </w:r>
      <w:r w:rsidRPr="0075161A">
        <w:rPr>
          <w:i/>
        </w:rPr>
        <w:t xml:space="preserve"> </w:t>
      </w:r>
      <w:r w:rsidRPr="0075161A">
        <w:t>307</w:t>
      </w:r>
      <w:r>
        <w:t xml:space="preserve"> at </w:t>
      </w:r>
      <w:r w:rsidR="0035234D">
        <w:t>313-314</w:t>
      </w:r>
      <w:r w:rsidR="006C4B49">
        <w:t xml:space="preserve"> and in</w:t>
      </w:r>
      <w:r>
        <w:t xml:space="preserve"> </w:t>
      </w:r>
      <w:r w:rsidRPr="0075161A">
        <w:t xml:space="preserve">Working Paper No. 2016/6 </w:t>
      </w:r>
      <w:r w:rsidR="006C4B49">
        <w:t>n 2</w:t>
      </w:r>
      <w:r w:rsidR="004168E6">
        <w:t>8</w:t>
      </w:r>
      <w:r w:rsidR="006C4B49">
        <w:t xml:space="preserve"> above</w:t>
      </w:r>
      <w:r w:rsidRPr="0075161A">
        <w:t>.</w:t>
      </w:r>
    </w:p>
  </w:footnote>
  <w:footnote w:id="32">
    <w:p w14:paraId="4200BC2B" w14:textId="77777777"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the effect of Art 61(a) of Brussels </w:t>
      </w:r>
      <w:proofErr w:type="spellStart"/>
      <w:r w:rsidRPr="00C61CE7">
        <w:rPr>
          <w:rFonts w:asciiTheme="minorHAnsi" w:hAnsiTheme="minorHAnsi" w:cstheme="minorHAnsi"/>
        </w:rPr>
        <w:t>IIa</w:t>
      </w:r>
      <w:proofErr w:type="spellEnd"/>
      <w:r w:rsidRPr="00C61CE7">
        <w:rPr>
          <w:rFonts w:asciiTheme="minorHAnsi" w:hAnsiTheme="minorHAnsi" w:cstheme="minorHAnsi"/>
        </w:rPr>
        <w:t xml:space="preserve"> as discussed by Kruger and </w:t>
      </w:r>
      <w:proofErr w:type="spellStart"/>
      <w:r w:rsidRPr="00C61CE7">
        <w:rPr>
          <w:rFonts w:asciiTheme="minorHAnsi" w:hAnsiTheme="minorHAnsi" w:cstheme="minorHAnsi"/>
        </w:rPr>
        <w:t>Samyn</w:t>
      </w:r>
      <w:proofErr w:type="spellEnd"/>
      <w:r w:rsidRPr="00C61CE7">
        <w:rPr>
          <w:rFonts w:asciiTheme="minorHAnsi" w:hAnsiTheme="minorHAnsi" w:cstheme="minorHAnsi"/>
        </w:rPr>
        <w:t xml:space="preserve">, </w:t>
      </w:r>
      <w:r w:rsidR="00C61CE7">
        <w:rPr>
          <w:rFonts w:asciiTheme="minorHAnsi" w:hAnsiTheme="minorHAnsi" w:cstheme="minorHAnsi"/>
        </w:rPr>
        <w:t>n 27 above</w:t>
      </w:r>
      <w:r w:rsidRPr="00C61CE7">
        <w:rPr>
          <w:rFonts w:asciiTheme="minorHAnsi" w:hAnsiTheme="minorHAnsi" w:cstheme="minorHAnsi"/>
        </w:rPr>
        <w:t xml:space="preserve"> at 154.</w:t>
      </w:r>
    </w:p>
  </w:footnote>
  <w:footnote w:id="33">
    <w:p w14:paraId="313FA459" w14:textId="77777777"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Art 75(2)(b) of the Commission’ Proposal </w:t>
      </w:r>
      <w:r w:rsidR="00C61CE7">
        <w:rPr>
          <w:rFonts w:asciiTheme="minorHAnsi" w:hAnsiTheme="minorHAnsi" w:cstheme="minorHAnsi"/>
        </w:rPr>
        <w:t>n 28 above</w:t>
      </w:r>
      <w:r w:rsidRPr="00C61CE7">
        <w:rPr>
          <w:rFonts w:asciiTheme="minorHAnsi" w:hAnsiTheme="minorHAnsi" w:cstheme="minorHAnsi"/>
        </w:rPr>
        <w:t>, explained in Beaumont</w:t>
      </w:r>
      <w:r w:rsidR="00C61CE7">
        <w:rPr>
          <w:rFonts w:asciiTheme="minorHAnsi" w:hAnsiTheme="minorHAnsi" w:cstheme="minorHAnsi"/>
        </w:rPr>
        <w:t xml:space="preserve"> et al</w:t>
      </w:r>
      <w:r w:rsidRPr="00C61CE7">
        <w:rPr>
          <w:rFonts w:asciiTheme="minorHAnsi" w:hAnsiTheme="minorHAnsi" w:cstheme="minorHAnsi"/>
        </w:rPr>
        <w:t xml:space="preserve">, Working Paper No. 2016/6 </w:t>
      </w:r>
      <w:r w:rsidR="00C61CE7">
        <w:rPr>
          <w:rFonts w:asciiTheme="minorHAnsi" w:hAnsiTheme="minorHAnsi" w:cstheme="minorHAnsi"/>
        </w:rPr>
        <w:t>n 28 above</w:t>
      </w:r>
      <w:r w:rsidRPr="00C61CE7">
        <w:rPr>
          <w:rFonts w:asciiTheme="minorHAnsi" w:hAnsiTheme="minorHAnsi" w:cstheme="minorHAnsi"/>
        </w:rPr>
        <w:t xml:space="preserve"> at ‘H’</w:t>
      </w:r>
      <w:r w:rsidR="00C61CE7">
        <w:rPr>
          <w:rFonts w:asciiTheme="minorHAnsi" w:hAnsiTheme="minorHAnsi" w:cstheme="minorHAnsi"/>
        </w:rPr>
        <w:t>.</w:t>
      </w:r>
    </w:p>
  </w:footnote>
  <w:footnote w:id="34">
    <w:p w14:paraId="7190C54B" w14:textId="23C44BB6"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w:t>
      </w:r>
      <w:r w:rsidRPr="00C61CE7">
        <w:rPr>
          <w:rFonts w:asciiTheme="minorHAnsi" w:hAnsiTheme="minorHAnsi" w:cstheme="minorHAnsi"/>
          <w:lang w:val="en-US"/>
        </w:rPr>
        <w:t xml:space="preserve"> the </w:t>
      </w:r>
      <w:proofErr w:type="spellStart"/>
      <w:r w:rsidRPr="00C61CE7">
        <w:rPr>
          <w:rFonts w:asciiTheme="minorHAnsi" w:hAnsiTheme="minorHAnsi" w:cstheme="minorHAnsi"/>
          <w:lang w:val="en-US"/>
        </w:rPr>
        <w:t>Lagarde</w:t>
      </w:r>
      <w:proofErr w:type="spellEnd"/>
      <w:r w:rsidRPr="00C61CE7">
        <w:rPr>
          <w:rFonts w:asciiTheme="minorHAnsi" w:hAnsiTheme="minorHAnsi" w:cstheme="minorHAnsi"/>
          <w:lang w:val="en-US"/>
        </w:rPr>
        <w:t xml:space="preserve"> Explanatory Report on Hague 1996 available at </w:t>
      </w:r>
      <w:hyperlink r:id="rId9" w:history="1">
        <w:r w:rsidRPr="00C61CE7">
          <w:rPr>
            <w:rStyle w:val="Hyperlink"/>
            <w:rFonts w:asciiTheme="minorHAnsi" w:hAnsiTheme="minorHAnsi" w:cstheme="minorHAnsi"/>
            <w:lang w:val="en-US"/>
          </w:rPr>
          <w:t>https://assets.hcch.net/upload/expl34.pdf</w:t>
        </w:r>
      </w:hyperlink>
      <w:r w:rsidRPr="00C61CE7">
        <w:rPr>
          <w:rFonts w:asciiTheme="minorHAnsi" w:hAnsiTheme="minorHAnsi" w:cstheme="minorHAnsi"/>
          <w:lang w:val="en-US"/>
        </w:rPr>
        <w:t xml:space="preserve"> (accessed on 6 April 2017)</w:t>
      </w:r>
      <w:r w:rsidRPr="00C61CE7">
        <w:rPr>
          <w:rFonts w:asciiTheme="minorHAnsi" w:hAnsiTheme="minorHAnsi" w:cstheme="minorHAnsi"/>
        </w:rPr>
        <w:t xml:space="preserve"> at para 56: </w:t>
      </w:r>
      <w:r w:rsidR="009F19B6">
        <w:rPr>
          <w:rFonts w:asciiTheme="minorHAnsi" w:hAnsiTheme="minorHAnsi" w:cstheme="minorHAnsi"/>
        </w:rPr>
        <w:t>‘</w:t>
      </w:r>
      <w:r w:rsidRPr="00C61CE7">
        <w:rPr>
          <w:rFonts w:asciiTheme="minorHAnsi" w:hAnsiTheme="minorHAnsi" w:cstheme="minorHAnsi"/>
        </w:rPr>
        <w:t>If the requested authority does not reply within a reasonable period of time to the request which has been addressed to it, it will be, since the text does not speak to this situation, for the authority whose jurisdiction was initially invoked to draw the consequences and to exercise its jurisdiction fully.</w:t>
      </w:r>
      <w:r w:rsidR="009F19B6">
        <w:rPr>
          <w:rFonts w:asciiTheme="minorHAnsi" w:hAnsiTheme="minorHAnsi" w:cstheme="minorHAnsi"/>
        </w:rPr>
        <w:t>’</w:t>
      </w:r>
    </w:p>
  </w:footnote>
  <w:footnote w:id="35">
    <w:p w14:paraId="59EDBBB7" w14:textId="25B91E48"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Whereas under Art 15 of Brussels </w:t>
      </w:r>
      <w:proofErr w:type="spellStart"/>
      <w:r w:rsidRPr="00C61CE7">
        <w:rPr>
          <w:rFonts w:asciiTheme="minorHAnsi" w:hAnsiTheme="minorHAnsi" w:cstheme="minorHAnsi"/>
        </w:rPr>
        <w:t>IIa</w:t>
      </w:r>
      <w:proofErr w:type="spellEnd"/>
      <w:r w:rsidRPr="00C61CE7">
        <w:rPr>
          <w:rFonts w:asciiTheme="minorHAnsi" w:hAnsiTheme="minorHAnsi" w:cstheme="minorHAnsi"/>
        </w:rPr>
        <w:t xml:space="preserve"> the requesting court has to apply a test which seems to require it to assess whether the transfer of the case to it from the court having jurisdiction is </w:t>
      </w:r>
      <w:r w:rsidR="009F19B6">
        <w:rPr>
          <w:rFonts w:asciiTheme="minorHAnsi" w:hAnsiTheme="minorHAnsi" w:cstheme="minorHAnsi"/>
        </w:rPr>
        <w:t>‘</w:t>
      </w:r>
      <w:r w:rsidRPr="00C61CE7">
        <w:rPr>
          <w:rFonts w:asciiTheme="minorHAnsi" w:hAnsiTheme="minorHAnsi" w:cstheme="minorHAnsi"/>
        </w:rPr>
        <w:t>in the best interests of the child</w:t>
      </w:r>
      <w:r w:rsidR="009F19B6">
        <w:rPr>
          <w:rFonts w:asciiTheme="minorHAnsi" w:hAnsiTheme="minorHAnsi" w:cstheme="minorHAnsi"/>
        </w:rPr>
        <w:t>’</w:t>
      </w:r>
      <w:r w:rsidR="00DE1BC8">
        <w:rPr>
          <w:rFonts w:asciiTheme="minorHAnsi" w:hAnsiTheme="minorHAnsi" w:cstheme="minorHAnsi"/>
        </w:rPr>
        <w:t>,</w:t>
      </w:r>
      <w:r w:rsidRPr="00C61CE7">
        <w:rPr>
          <w:rFonts w:asciiTheme="minorHAnsi" w:hAnsiTheme="minorHAnsi" w:cstheme="minorHAnsi"/>
        </w:rPr>
        <w:t xml:space="preserve"> but given the decision of the CJEU in Case C</w:t>
      </w:r>
      <w:r w:rsidRPr="00C61CE7">
        <w:rPr>
          <w:rFonts w:asciiTheme="minorHAnsi" w:hAnsiTheme="minorHAnsi" w:cstheme="minorHAnsi"/>
          <w:lang w:val="en-US"/>
        </w:rPr>
        <w:noBreakHyphen/>
        <w:t xml:space="preserve">428/15 </w:t>
      </w:r>
      <w:r w:rsidRPr="00C61CE7">
        <w:rPr>
          <w:rFonts w:asciiTheme="minorHAnsi" w:hAnsiTheme="minorHAnsi" w:cstheme="minorHAnsi"/>
          <w:i/>
          <w:lang w:val="en-US"/>
        </w:rPr>
        <w:t xml:space="preserve">Child and Family Agency v J.D. </w:t>
      </w:r>
      <w:r w:rsidRPr="00C61CE7">
        <w:rPr>
          <w:rFonts w:asciiTheme="minorHAnsi" w:hAnsiTheme="minorHAnsi" w:cstheme="minorHAnsi"/>
          <w:lang w:val="en-US"/>
        </w:rPr>
        <w:t>of 27 October 2016</w:t>
      </w:r>
      <w:r w:rsidRPr="00C61CE7">
        <w:rPr>
          <w:rFonts w:asciiTheme="minorHAnsi" w:hAnsiTheme="minorHAnsi" w:cstheme="minorHAnsi"/>
          <w:i/>
          <w:lang w:val="en-US"/>
        </w:rPr>
        <w:t>,</w:t>
      </w:r>
      <w:r w:rsidRPr="00C61CE7">
        <w:rPr>
          <w:rFonts w:asciiTheme="minorHAnsi" w:hAnsiTheme="minorHAnsi" w:cstheme="minorHAnsi"/>
          <w:lang w:val="en-US"/>
        </w:rPr>
        <w:t xml:space="preserve"> EU:C:2016:458</w:t>
      </w:r>
      <w:r w:rsidR="00DE1BC8">
        <w:rPr>
          <w:rFonts w:asciiTheme="minorHAnsi" w:hAnsiTheme="minorHAnsi" w:cstheme="minorHAnsi"/>
          <w:lang w:val="en-US"/>
        </w:rPr>
        <w:t>,</w:t>
      </w:r>
      <w:r w:rsidRPr="00C61CE7">
        <w:rPr>
          <w:rFonts w:asciiTheme="minorHAnsi" w:hAnsiTheme="minorHAnsi" w:cstheme="minorHAnsi"/>
          <w:lang w:val="en-US"/>
        </w:rPr>
        <w:t xml:space="preserve"> </w:t>
      </w:r>
      <w:r w:rsidRPr="00C61CE7">
        <w:rPr>
          <w:rFonts w:asciiTheme="minorHAnsi" w:hAnsiTheme="minorHAnsi" w:cstheme="minorHAnsi"/>
        </w:rPr>
        <w:t>may only require them to consider that the transfer to it of the case would not be detrimental to the situation of the child.</w:t>
      </w:r>
    </w:p>
  </w:footnote>
  <w:footnote w:id="36">
    <w:p w14:paraId="104743DC" w14:textId="77777777"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t>
      </w:r>
      <w:r w:rsidRPr="00C61CE7">
        <w:rPr>
          <w:rFonts w:asciiTheme="minorHAnsi" w:hAnsiTheme="minorHAnsi" w:cstheme="minorHAnsi"/>
          <w:i/>
        </w:rPr>
        <w:t>Practical Handbook on the Operation of the 1996 Hague Child Protection Convention</w:t>
      </w:r>
      <w:r w:rsidRPr="00C61CE7">
        <w:rPr>
          <w:rFonts w:asciiTheme="minorHAnsi" w:hAnsiTheme="minorHAnsi" w:cstheme="minorHAnsi"/>
        </w:rPr>
        <w:t xml:space="preserve"> (HCCH, 2014) at 59 available at </w:t>
      </w:r>
      <w:hyperlink r:id="rId10" w:history="1">
        <w:r w:rsidRPr="00C61CE7">
          <w:rPr>
            <w:rStyle w:val="Hyperlink"/>
            <w:rFonts w:asciiTheme="minorHAnsi" w:hAnsiTheme="minorHAnsi" w:cstheme="minorHAnsi"/>
          </w:rPr>
          <w:t>https://assets.hcch.net/docs/eca03d40-29c6-4cc4-ae52-edad337b6b86.pdf</w:t>
        </w:r>
      </w:hyperlink>
      <w:r w:rsidRPr="00C61CE7">
        <w:rPr>
          <w:rFonts w:asciiTheme="minorHAnsi" w:hAnsiTheme="minorHAnsi" w:cstheme="minorHAnsi"/>
        </w:rPr>
        <w:t xml:space="preserve"> accessed on 1 June 2017.  It is not clear who the author(s) of the </w:t>
      </w:r>
      <w:r w:rsidRPr="00C61CE7">
        <w:rPr>
          <w:rFonts w:asciiTheme="minorHAnsi" w:hAnsiTheme="minorHAnsi" w:cstheme="minorHAnsi"/>
          <w:i/>
        </w:rPr>
        <w:t>Practical Handbook</w:t>
      </w:r>
      <w:r w:rsidRPr="00C61CE7">
        <w:rPr>
          <w:rFonts w:asciiTheme="minorHAnsi" w:hAnsiTheme="minorHAnsi" w:cstheme="minorHAnsi"/>
        </w:rPr>
        <w:t xml:space="preserve"> are.  It is published by the Hague Conference on Private International Law and the Conference has the copyright but neither it nor the Permanent Bureau claim authorship and no author is expressly identified in the Handbook.</w:t>
      </w:r>
    </w:p>
  </w:footnote>
  <w:footnote w:id="37">
    <w:p w14:paraId="19030360" w14:textId="77777777"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t>
      </w:r>
      <w:r w:rsidRPr="00C61CE7">
        <w:rPr>
          <w:rFonts w:asciiTheme="minorHAnsi" w:hAnsiTheme="minorHAnsi" w:cstheme="minorHAnsi"/>
          <w:i/>
        </w:rPr>
        <w:t>Practical Handbook</w:t>
      </w:r>
      <w:r w:rsidR="00590BDF">
        <w:rPr>
          <w:rFonts w:asciiTheme="minorHAnsi" w:hAnsiTheme="minorHAnsi" w:cstheme="minorHAnsi"/>
          <w:i/>
        </w:rPr>
        <w:t xml:space="preserve"> </w:t>
      </w:r>
      <w:r w:rsidR="00590BDF" w:rsidRPr="00590BDF">
        <w:rPr>
          <w:rFonts w:asciiTheme="minorHAnsi" w:hAnsiTheme="minorHAnsi" w:cstheme="minorHAnsi"/>
        </w:rPr>
        <w:t>ibid</w:t>
      </w:r>
      <w:r w:rsidRPr="00590BDF">
        <w:rPr>
          <w:rFonts w:asciiTheme="minorHAnsi" w:hAnsiTheme="minorHAnsi" w:cstheme="minorHAnsi"/>
        </w:rPr>
        <w:t>.</w:t>
      </w:r>
    </w:p>
  </w:footnote>
  <w:footnote w:id="38">
    <w:p w14:paraId="23A5330C" w14:textId="77777777"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t>
      </w:r>
      <w:r w:rsidRPr="00C61CE7">
        <w:rPr>
          <w:rFonts w:asciiTheme="minorHAnsi" w:hAnsiTheme="minorHAnsi" w:cstheme="minorHAnsi"/>
          <w:lang w:val="en-US"/>
        </w:rPr>
        <w:t>Case C</w:t>
      </w:r>
      <w:r w:rsidRPr="00C61CE7">
        <w:rPr>
          <w:rFonts w:asciiTheme="minorHAnsi" w:hAnsiTheme="minorHAnsi" w:cstheme="minorHAnsi"/>
          <w:lang w:val="en-US"/>
        </w:rPr>
        <w:noBreakHyphen/>
        <w:t xml:space="preserve">428/15 </w:t>
      </w:r>
      <w:r w:rsidRPr="00C61CE7">
        <w:rPr>
          <w:rFonts w:asciiTheme="minorHAnsi" w:hAnsiTheme="minorHAnsi" w:cstheme="minorHAnsi"/>
          <w:i/>
          <w:lang w:val="en-US"/>
        </w:rPr>
        <w:t xml:space="preserve">Child and Family Agency v J.D. </w:t>
      </w:r>
      <w:r w:rsidRPr="00C61CE7">
        <w:rPr>
          <w:rFonts w:asciiTheme="minorHAnsi" w:hAnsiTheme="minorHAnsi" w:cstheme="minorHAnsi"/>
          <w:lang w:val="en-US"/>
        </w:rPr>
        <w:t>of 27 October 2016</w:t>
      </w:r>
      <w:r w:rsidRPr="00C61CE7">
        <w:rPr>
          <w:rFonts w:asciiTheme="minorHAnsi" w:hAnsiTheme="minorHAnsi" w:cstheme="minorHAnsi"/>
          <w:i/>
          <w:lang w:val="en-US"/>
        </w:rPr>
        <w:t>,</w:t>
      </w:r>
      <w:r w:rsidRPr="00C61CE7">
        <w:rPr>
          <w:rFonts w:asciiTheme="minorHAnsi" w:hAnsiTheme="minorHAnsi" w:cstheme="minorHAnsi"/>
          <w:lang w:val="en-US"/>
        </w:rPr>
        <w:t xml:space="preserve"> EU</w:t>
      </w:r>
      <w:proofErr w:type="gramStart"/>
      <w:r w:rsidRPr="00C61CE7">
        <w:rPr>
          <w:rFonts w:asciiTheme="minorHAnsi" w:hAnsiTheme="minorHAnsi" w:cstheme="minorHAnsi"/>
          <w:lang w:val="en-US"/>
        </w:rPr>
        <w:t>:C:2016:458</w:t>
      </w:r>
      <w:proofErr w:type="gramEnd"/>
      <w:r w:rsidRPr="00C61CE7">
        <w:rPr>
          <w:rFonts w:asciiTheme="minorHAnsi" w:hAnsiTheme="minorHAnsi" w:cstheme="minorHAnsi"/>
        </w:rPr>
        <w:t xml:space="preserve"> at [58]-[59].</w:t>
      </w:r>
    </w:p>
  </w:footnote>
  <w:footnote w:id="39">
    <w:p w14:paraId="13A41D8B" w14:textId="77777777"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Indeed this was the test applied by Baker J in a judgment of 14 October 2016 </w:t>
      </w:r>
      <w:r w:rsidRPr="00C61CE7">
        <w:rPr>
          <w:rFonts w:asciiTheme="minorHAnsi" w:hAnsiTheme="minorHAnsi" w:cstheme="minorHAnsi"/>
          <w:i/>
        </w:rPr>
        <w:t>In the matter of the 1996 Hague Convention and in the Matter of M and L (Children)</w:t>
      </w:r>
      <w:r w:rsidRPr="00C61CE7">
        <w:rPr>
          <w:rFonts w:asciiTheme="minorHAnsi" w:hAnsiTheme="minorHAnsi" w:cstheme="minorHAnsi"/>
        </w:rPr>
        <w:t xml:space="preserve"> [2016] EWHC 2535 (Fam) at [31].  He decided that the courts in Norway and England and Wales were in most respects equally well placed to assess the best interests of the two boys apart from the fact that the Norwegian court had not been asked and the mother was not seeking to ask it to hear the case in relation to both boys whereas he could ask the Norwegian court to surrender the case in relation to one boy so that he could hear the cases in relation to both boys together. Baker J, at [1], indicated that he thought this was the first reported judgment in England and Wales on the use of Arts 8 or 9 of Hague 1996.</w:t>
      </w:r>
    </w:p>
  </w:footnote>
  <w:footnote w:id="40">
    <w:p w14:paraId="1A0E0A3B" w14:textId="4F24E60D" w:rsidR="004127CA" w:rsidRPr="00590BDF"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AG </w:t>
      </w:r>
      <w:proofErr w:type="spellStart"/>
      <w:r w:rsidRPr="00C61CE7">
        <w:rPr>
          <w:rFonts w:asciiTheme="minorHAnsi" w:hAnsiTheme="minorHAnsi" w:cstheme="minorHAnsi"/>
        </w:rPr>
        <w:t>Wathelet’s</w:t>
      </w:r>
      <w:proofErr w:type="spellEnd"/>
      <w:r w:rsidRPr="00C61CE7">
        <w:rPr>
          <w:rFonts w:asciiTheme="minorHAnsi" w:hAnsiTheme="minorHAnsi" w:cstheme="minorHAnsi"/>
        </w:rPr>
        <w:t xml:space="preserve"> Opinion in Case C-</w:t>
      </w:r>
      <w:r w:rsidRPr="00C61CE7">
        <w:rPr>
          <w:rFonts w:asciiTheme="minorHAnsi" w:hAnsiTheme="minorHAnsi" w:cstheme="minorHAnsi"/>
          <w:lang w:val="en-US"/>
        </w:rPr>
        <w:t xml:space="preserve">428/15 </w:t>
      </w:r>
      <w:r w:rsidRPr="00C61CE7">
        <w:rPr>
          <w:rFonts w:asciiTheme="minorHAnsi" w:hAnsiTheme="minorHAnsi" w:cstheme="minorHAnsi"/>
          <w:i/>
          <w:lang w:val="en-US"/>
        </w:rPr>
        <w:t xml:space="preserve">Child and Family Agency v J.D. </w:t>
      </w:r>
      <w:r w:rsidRPr="00C61CE7">
        <w:rPr>
          <w:rFonts w:asciiTheme="minorHAnsi" w:hAnsiTheme="minorHAnsi" w:cstheme="minorHAnsi"/>
          <w:lang w:val="en-US"/>
        </w:rPr>
        <w:t xml:space="preserve">EU:C:2016:458 at paras 63-75 discusses whether or not under EU law this requirement has to be </w:t>
      </w:r>
      <w:proofErr w:type="spellStart"/>
      <w:r w:rsidRPr="00C61CE7">
        <w:rPr>
          <w:rFonts w:asciiTheme="minorHAnsi" w:hAnsiTheme="minorHAnsi" w:cstheme="minorHAnsi"/>
          <w:lang w:val="en-US"/>
        </w:rPr>
        <w:t>analysed</w:t>
      </w:r>
      <w:proofErr w:type="spellEnd"/>
      <w:r w:rsidRPr="00C61CE7">
        <w:rPr>
          <w:rFonts w:asciiTheme="minorHAnsi" w:hAnsiTheme="minorHAnsi" w:cstheme="minorHAnsi"/>
          <w:lang w:val="en-US"/>
        </w:rPr>
        <w:t xml:space="preserve"> separately from the </w:t>
      </w:r>
      <w:r w:rsidR="009F19B6">
        <w:rPr>
          <w:rFonts w:asciiTheme="minorHAnsi" w:hAnsiTheme="minorHAnsi" w:cstheme="minorHAnsi"/>
          <w:lang w:val="en-US"/>
        </w:rPr>
        <w:t>‘</w:t>
      </w:r>
      <w:r w:rsidRPr="00C61CE7">
        <w:rPr>
          <w:rFonts w:asciiTheme="minorHAnsi" w:hAnsiTheme="minorHAnsi" w:cstheme="minorHAnsi"/>
          <w:lang w:val="en-US"/>
        </w:rPr>
        <w:t>best interests of the child</w:t>
      </w:r>
      <w:r w:rsidR="009F19B6">
        <w:rPr>
          <w:rFonts w:asciiTheme="minorHAnsi" w:hAnsiTheme="minorHAnsi" w:cstheme="minorHAnsi"/>
          <w:lang w:val="en-US"/>
        </w:rPr>
        <w:t>’</w:t>
      </w:r>
      <w:r w:rsidRPr="00C61CE7">
        <w:rPr>
          <w:rFonts w:asciiTheme="minorHAnsi" w:hAnsiTheme="minorHAnsi" w:cstheme="minorHAnsi"/>
          <w:lang w:val="en-US"/>
        </w:rPr>
        <w:t xml:space="preserve"> requirement (discussed in </w:t>
      </w:r>
      <w:r w:rsidR="00590BDF">
        <w:rPr>
          <w:rFonts w:asciiTheme="minorHAnsi" w:hAnsiTheme="minorHAnsi" w:cstheme="minorHAnsi"/>
          <w:lang w:val="en-US"/>
        </w:rPr>
        <w:t>B(ii)(a)(2)</w:t>
      </w:r>
      <w:r w:rsidRPr="00C61CE7">
        <w:rPr>
          <w:rFonts w:asciiTheme="minorHAnsi" w:hAnsiTheme="minorHAnsi" w:cstheme="minorHAnsi"/>
          <w:lang w:val="en-US"/>
        </w:rPr>
        <w:t xml:space="preserve"> above) and concluded that: </w:t>
      </w:r>
      <w:r w:rsidR="009F19B6">
        <w:rPr>
          <w:rFonts w:asciiTheme="minorHAnsi" w:hAnsiTheme="minorHAnsi" w:cstheme="minorHAnsi"/>
          <w:lang w:val="en-US"/>
        </w:rPr>
        <w:t>‘</w:t>
      </w:r>
      <w:r w:rsidRPr="00C61CE7">
        <w:rPr>
          <w:rFonts w:asciiTheme="minorHAnsi" w:hAnsiTheme="minorHAnsi" w:cstheme="minorHAnsi"/>
        </w:rPr>
        <w:t>In its written observations, the Commission takes the view that they are inseparable and that the ‘best interest’ criterion merely affects the discretion conferred on the court by Article 15(1) of Regulation No 2201/2003. To that end, the determination of the court best placed may be carried out only with due regard for the best interests of the child. Those two criteria will therefore form part of one and the same evaluation process. I agree with that interpretation of Article 15(1) of Regulation No 2201/2003, which seems to me to be consistent with the objectives pursued by that regulation.</w:t>
      </w:r>
      <w:r w:rsidR="009F19B6">
        <w:rPr>
          <w:rFonts w:asciiTheme="minorHAnsi" w:hAnsiTheme="minorHAnsi" w:cstheme="minorHAnsi"/>
        </w:rPr>
        <w:t>’</w:t>
      </w:r>
      <w:r w:rsidRPr="00C61CE7">
        <w:rPr>
          <w:rFonts w:asciiTheme="minorHAnsi" w:hAnsiTheme="minorHAnsi" w:cstheme="minorHAnsi"/>
          <w:lang w:val="en-US"/>
        </w:rPr>
        <w:t xml:space="preserve"> However the Court did not follow the AG on this point and treated the two tests separately, see paras 56-59 of the Third Chamber’s judgment.</w:t>
      </w:r>
      <w:r w:rsidR="00590BDF">
        <w:rPr>
          <w:rFonts w:asciiTheme="minorHAnsi" w:hAnsiTheme="minorHAnsi" w:cstheme="minorHAnsi"/>
          <w:i/>
          <w:lang w:val="en-US"/>
        </w:rPr>
        <w:t xml:space="preserve"> </w:t>
      </w:r>
      <w:r w:rsidR="00590BDF">
        <w:rPr>
          <w:rFonts w:asciiTheme="minorHAnsi" w:hAnsiTheme="minorHAnsi" w:cstheme="minorHAnsi"/>
          <w:lang w:val="en-US"/>
        </w:rPr>
        <w:t>Lady Hale in</w:t>
      </w:r>
      <w:r w:rsidR="00590BDF" w:rsidRPr="00590BDF">
        <w:rPr>
          <w:rFonts w:asciiTheme="minorHAnsi" w:hAnsiTheme="minorHAnsi" w:cstheme="minorHAnsi"/>
          <w:i/>
          <w:sz w:val="22"/>
          <w:szCs w:val="22"/>
          <w:lang w:val="en-US"/>
        </w:rPr>
        <w:t xml:space="preserve"> </w:t>
      </w:r>
      <w:r w:rsidR="00DE1BC8" w:rsidRPr="00F3151F">
        <w:rPr>
          <w:rFonts w:asciiTheme="minorHAnsi" w:hAnsiTheme="minorHAnsi" w:cstheme="minorHAnsi"/>
          <w:i/>
          <w:sz w:val="22"/>
          <w:szCs w:val="22"/>
          <w:lang w:val="en-US"/>
        </w:rPr>
        <w:t xml:space="preserve">Re </w:t>
      </w:r>
      <w:r w:rsidR="00590BDF" w:rsidRPr="00F3151F">
        <w:rPr>
          <w:rFonts w:asciiTheme="minorHAnsi" w:hAnsiTheme="minorHAnsi" w:cstheme="minorHAnsi"/>
          <w:i/>
          <w:lang w:val="en-US"/>
        </w:rPr>
        <w:t>N (</w:t>
      </w:r>
      <w:r w:rsidR="002168EC" w:rsidRPr="00F3151F">
        <w:rPr>
          <w:rFonts w:asciiTheme="minorHAnsi" w:hAnsiTheme="minorHAnsi" w:cstheme="minorHAnsi"/>
          <w:i/>
          <w:lang w:val="en-US"/>
        </w:rPr>
        <w:t>Adoption: Jurisdiction</w:t>
      </w:r>
      <w:r w:rsidR="00590BDF" w:rsidRPr="00F3151F">
        <w:rPr>
          <w:rFonts w:asciiTheme="minorHAnsi" w:hAnsiTheme="minorHAnsi" w:cstheme="minorHAnsi"/>
          <w:i/>
          <w:lang w:val="en-US"/>
        </w:rPr>
        <w:t>)</w:t>
      </w:r>
      <w:r w:rsidR="00590BDF" w:rsidRPr="00F3151F">
        <w:rPr>
          <w:rFonts w:asciiTheme="minorHAnsi" w:hAnsiTheme="minorHAnsi" w:cstheme="minorHAnsi"/>
          <w:lang w:val="en-US"/>
        </w:rPr>
        <w:t xml:space="preserve"> [2016] UKSC 15 </w:t>
      </w:r>
      <w:r w:rsidR="00F3151F" w:rsidRPr="00F3151F">
        <w:rPr>
          <w:rFonts w:asciiTheme="minorHAnsi" w:hAnsiTheme="minorHAnsi" w:cstheme="minorHAnsi"/>
          <w:lang w:val="en-US"/>
        </w:rPr>
        <w:t xml:space="preserve">[2016] 1 FLR 1082 </w:t>
      </w:r>
      <w:r w:rsidR="00590BDF" w:rsidRPr="00F3151F">
        <w:rPr>
          <w:rFonts w:asciiTheme="minorHAnsi" w:hAnsiTheme="minorHAnsi" w:cstheme="minorHAnsi"/>
          <w:lang w:val="en-US"/>
        </w:rPr>
        <w:t>at para</w:t>
      </w:r>
      <w:r w:rsidR="00590BDF">
        <w:rPr>
          <w:rFonts w:asciiTheme="minorHAnsi" w:hAnsiTheme="minorHAnsi" w:cstheme="minorHAnsi"/>
          <w:lang w:val="en-US"/>
        </w:rPr>
        <w:t xml:space="preserve"> 41 suggested that the EU Commission at the time of its original proposal for Brussels </w:t>
      </w:r>
      <w:proofErr w:type="spellStart"/>
      <w:r w:rsidR="00590BDF">
        <w:rPr>
          <w:rFonts w:asciiTheme="minorHAnsi" w:hAnsiTheme="minorHAnsi" w:cstheme="minorHAnsi"/>
          <w:lang w:val="en-US"/>
        </w:rPr>
        <w:t>IIa</w:t>
      </w:r>
      <w:proofErr w:type="spellEnd"/>
      <w:r w:rsidR="00590BDF">
        <w:rPr>
          <w:rFonts w:asciiTheme="minorHAnsi" w:hAnsiTheme="minorHAnsi" w:cstheme="minorHAnsi"/>
          <w:lang w:val="en-US"/>
        </w:rPr>
        <w:t xml:space="preserve"> had seen the </w:t>
      </w:r>
      <w:r w:rsidR="009F19B6">
        <w:rPr>
          <w:rFonts w:asciiTheme="minorHAnsi" w:hAnsiTheme="minorHAnsi" w:cstheme="minorHAnsi"/>
          <w:lang w:val="en-US"/>
        </w:rPr>
        <w:t>‘</w:t>
      </w:r>
      <w:r w:rsidR="00590BDF">
        <w:rPr>
          <w:rFonts w:asciiTheme="minorHAnsi" w:hAnsiTheme="minorHAnsi" w:cstheme="minorHAnsi"/>
          <w:lang w:val="en-US"/>
        </w:rPr>
        <w:t>best interests of the child</w:t>
      </w:r>
      <w:r w:rsidR="009F19B6">
        <w:rPr>
          <w:rFonts w:asciiTheme="minorHAnsi" w:hAnsiTheme="minorHAnsi" w:cstheme="minorHAnsi"/>
          <w:lang w:val="en-US"/>
        </w:rPr>
        <w:t>’</w:t>
      </w:r>
      <w:r w:rsidR="00590BDF">
        <w:rPr>
          <w:rFonts w:asciiTheme="minorHAnsi" w:hAnsiTheme="minorHAnsi" w:cstheme="minorHAnsi"/>
          <w:lang w:val="en-US"/>
        </w:rPr>
        <w:t xml:space="preserve"> test in Art 15 as an </w:t>
      </w:r>
      <w:r w:rsidR="009F19B6">
        <w:rPr>
          <w:rFonts w:asciiTheme="minorHAnsi" w:hAnsiTheme="minorHAnsi" w:cstheme="minorHAnsi"/>
          <w:lang w:val="en-US"/>
        </w:rPr>
        <w:t>‘</w:t>
      </w:r>
      <w:r w:rsidR="00590BDF">
        <w:rPr>
          <w:rFonts w:asciiTheme="minorHAnsi" w:hAnsiTheme="minorHAnsi" w:cstheme="minorHAnsi"/>
          <w:lang w:val="en-US"/>
        </w:rPr>
        <w:t>additional safeguard</w:t>
      </w:r>
      <w:r w:rsidR="009F19B6">
        <w:rPr>
          <w:rFonts w:asciiTheme="minorHAnsi" w:hAnsiTheme="minorHAnsi" w:cstheme="minorHAnsi"/>
          <w:lang w:val="en-US"/>
        </w:rPr>
        <w:t>’</w:t>
      </w:r>
      <w:r w:rsidR="00590BDF">
        <w:rPr>
          <w:rFonts w:asciiTheme="minorHAnsi" w:hAnsiTheme="minorHAnsi" w:cstheme="minorHAnsi"/>
          <w:lang w:val="en-US"/>
        </w:rPr>
        <w:t xml:space="preserve"> for the child and she adopts that view at para 57. At paras 43 and 44 she concludes that the </w:t>
      </w:r>
      <w:r w:rsidR="009F19B6">
        <w:rPr>
          <w:rFonts w:asciiTheme="minorHAnsi" w:hAnsiTheme="minorHAnsi" w:cstheme="minorHAnsi"/>
          <w:lang w:val="en-US"/>
        </w:rPr>
        <w:t>‘</w:t>
      </w:r>
      <w:r w:rsidR="00590BDF">
        <w:rPr>
          <w:rFonts w:asciiTheme="minorHAnsi" w:hAnsiTheme="minorHAnsi" w:cstheme="minorHAnsi"/>
          <w:lang w:val="en-US"/>
        </w:rPr>
        <w:t>best interests</w:t>
      </w:r>
      <w:r w:rsidR="009F19B6">
        <w:rPr>
          <w:rFonts w:asciiTheme="minorHAnsi" w:hAnsiTheme="minorHAnsi" w:cstheme="minorHAnsi"/>
          <w:lang w:val="en-US"/>
        </w:rPr>
        <w:t>’</w:t>
      </w:r>
      <w:r w:rsidR="00590BDF">
        <w:rPr>
          <w:rFonts w:asciiTheme="minorHAnsi" w:hAnsiTheme="minorHAnsi" w:cstheme="minorHAnsi"/>
          <w:lang w:val="en-US"/>
        </w:rPr>
        <w:t xml:space="preserve"> test is not </w:t>
      </w:r>
      <w:r w:rsidR="009F19B6">
        <w:rPr>
          <w:rFonts w:asciiTheme="minorHAnsi" w:hAnsiTheme="minorHAnsi" w:cstheme="minorHAnsi"/>
          <w:lang w:val="en-US"/>
        </w:rPr>
        <w:t>‘</w:t>
      </w:r>
      <w:r w:rsidR="00590BDF">
        <w:rPr>
          <w:rFonts w:asciiTheme="minorHAnsi" w:hAnsiTheme="minorHAnsi" w:cstheme="minorHAnsi"/>
          <w:lang w:val="en-US"/>
        </w:rPr>
        <w:t>attenuated</w:t>
      </w:r>
      <w:r w:rsidR="009F19B6">
        <w:rPr>
          <w:rFonts w:asciiTheme="minorHAnsi" w:hAnsiTheme="minorHAnsi" w:cstheme="minorHAnsi"/>
          <w:lang w:val="en-US"/>
        </w:rPr>
        <w:t>’</w:t>
      </w:r>
      <w:r w:rsidR="00590BDF">
        <w:rPr>
          <w:rFonts w:asciiTheme="minorHAnsi" w:hAnsiTheme="minorHAnsi" w:cstheme="minorHAnsi"/>
          <w:lang w:val="en-US"/>
        </w:rPr>
        <w:t xml:space="preserve"> and is separate from the </w:t>
      </w:r>
      <w:r w:rsidR="009F19B6">
        <w:rPr>
          <w:rFonts w:asciiTheme="minorHAnsi" w:hAnsiTheme="minorHAnsi" w:cstheme="minorHAnsi"/>
          <w:lang w:val="en-US"/>
        </w:rPr>
        <w:t>‘</w:t>
      </w:r>
      <w:r w:rsidR="00590BDF">
        <w:rPr>
          <w:rFonts w:asciiTheme="minorHAnsi" w:hAnsiTheme="minorHAnsi" w:cstheme="minorHAnsi"/>
          <w:lang w:val="en-US"/>
        </w:rPr>
        <w:t>better placed</w:t>
      </w:r>
      <w:r w:rsidR="009F19B6">
        <w:rPr>
          <w:rFonts w:asciiTheme="minorHAnsi" w:hAnsiTheme="minorHAnsi" w:cstheme="minorHAnsi"/>
          <w:lang w:val="en-US"/>
        </w:rPr>
        <w:t>’</w:t>
      </w:r>
      <w:r w:rsidR="00590BDF">
        <w:rPr>
          <w:rFonts w:asciiTheme="minorHAnsi" w:hAnsiTheme="minorHAnsi" w:cstheme="minorHAnsi"/>
          <w:lang w:val="en-US"/>
        </w:rPr>
        <w:t xml:space="preserve"> test. The question is whether the transfer is in the child’s best interests including the </w:t>
      </w:r>
      <w:r w:rsidR="009F19B6">
        <w:rPr>
          <w:rFonts w:asciiTheme="minorHAnsi" w:hAnsiTheme="minorHAnsi" w:cstheme="minorHAnsi"/>
          <w:lang w:val="en-US"/>
        </w:rPr>
        <w:t>‘</w:t>
      </w:r>
      <w:r w:rsidR="00590BDF">
        <w:rPr>
          <w:rFonts w:asciiTheme="minorHAnsi" w:hAnsiTheme="minorHAnsi" w:cstheme="minorHAnsi"/>
          <w:lang w:val="en-US"/>
        </w:rPr>
        <w:t>impact</w:t>
      </w:r>
      <w:r w:rsidR="009F19B6">
        <w:rPr>
          <w:rFonts w:asciiTheme="minorHAnsi" w:hAnsiTheme="minorHAnsi" w:cstheme="minorHAnsi"/>
          <w:lang w:val="en-US"/>
        </w:rPr>
        <w:t>’</w:t>
      </w:r>
      <w:r w:rsidR="00590BDF">
        <w:rPr>
          <w:rFonts w:asciiTheme="minorHAnsi" w:hAnsiTheme="minorHAnsi" w:cstheme="minorHAnsi"/>
          <w:lang w:val="en-US"/>
        </w:rPr>
        <w:t xml:space="preserve"> it will have on the </w:t>
      </w:r>
      <w:r w:rsidR="009F19B6">
        <w:rPr>
          <w:rFonts w:asciiTheme="minorHAnsi" w:hAnsiTheme="minorHAnsi" w:cstheme="minorHAnsi"/>
          <w:lang w:val="en-US"/>
        </w:rPr>
        <w:t>‘</w:t>
      </w:r>
      <w:r w:rsidR="00590BDF">
        <w:rPr>
          <w:rFonts w:asciiTheme="minorHAnsi" w:hAnsiTheme="minorHAnsi" w:cstheme="minorHAnsi"/>
          <w:lang w:val="en-US"/>
        </w:rPr>
        <w:t>choices available to the court on deciding the eventual outcome</w:t>
      </w:r>
      <w:r w:rsidR="009F19B6">
        <w:rPr>
          <w:rFonts w:asciiTheme="minorHAnsi" w:hAnsiTheme="minorHAnsi" w:cstheme="minorHAnsi"/>
          <w:lang w:val="en-US"/>
        </w:rPr>
        <w:t>’</w:t>
      </w:r>
      <w:r w:rsidR="00590BDF">
        <w:rPr>
          <w:rFonts w:asciiTheme="minorHAnsi" w:hAnsiTheme="minorHAnsi" w:cstheme="minorHAnsi"/>
          <w:lang w:val="en-US"/>
        </w:rPr>
        <w:t>.</w:t>
      </w:r>
      <w:r w:rsidR="003D0791">
        <w:rPr>
          <w:rFonts w:asciiTheme="minorHAnsi" w:hAnsiTheme="minorHAnsi" w:cstheme="minorHAnsi"/>
          <w:lang w:val="en-US"/>
        </w:rPr>
        <w:t xml:space="preserve"> In that case</w:t>
      </w:r>
      <w:r w:rsidR="004519C4">
        <w:rPr>
          <w:rFonts w:asciiTheme="minorHAnsi" w:hAnsiTheme="minorHAnsi" w:cstheme="minorHAnsi"/>
          <w:lang w:val="en-US"/>
        </w:rPr>
        <w:t xml:space="preserve"> the UK Supreme Court believed that</w:t>
      </w:r>
      <w:r w:rsidR="003D0791">
        <w:rPr>
          <w:rFonts w:asciiTheme="minorHAnsi" w:hAnsiTheme="minorHAnsi" w:cstheme="minorHAnsi"/>
          <w:lang w:val="en-US"/>
        </w:rPr>
        <w:t xml:space="preserve"> the choice of </w:t>
      </w:r>
      <w:r w:rsidR="004519C4">
        <w:rPr>
          <w:rFonts w:asciiTheme="minorHAnsi" w:hAnsiTheme="minorHAnsi" w:cstheme="minorHAnsi"/>
          <w:lang w:val="en-US"/>
        </w:rPr>
        <w:t xml:space="preserve">allowing </w:t>
      </w:r>
      <w:r w:rsidR="003D0791">
        <w:rPr>
          <w:rFonts w:asciiTheme="minorHAnsi" w:hAnsiTheme="minorHAnsi" w:cstheme="minorHAnsi"/>
          <w:lang w:val="en-US"/>
        </w:rPr>
        <w:t xml:space="preserve">the children </w:t>
      </w:r>
      <w:r w:rsidR="004519C4">
        <w:rPr>
          <w:rFonts w:asciiTheme="minorHAnsi" w:hAnsiTheme="minorHAnsi" w:cstheme="minorHAnsi"/>
          <w:lang w:val="en-US"/>
        </w:rPr>
        <w:t xml:space="preserve">to </w:t>
      </w:r>
      <w:r w:rsidR="003D0791">
        <w:rPr>
          <w:rFonts w:asciiTheme="minorHAnsi" w:hAnsiTheme="minorHAnsi" w:cstheme="minorHAnsi"/>
          <w:lang w:val="en-US"/>
        </w:rPr>
        <w:t>stay with long term foster parents in England, who might adopt them, would be lost by transferring the case to Hungary.</w:t>
      </w:r>
      <w:r w:rsidR="00590BDF">
        <w:rPr>
          <w:rFonts w:asciiTheme="minorHAnsi" w:hAnsiTheme="minorHAnsi" w:cstheme="minorHAnsi"/>
          <w:lang w:val="en-US"/>
        </w:rPr>
        <w:t xml:space="preserve"> </w:t>
      </w:r>
    </w:p>
  </w:footnote>
  <w:footnote w:id="41">
    <w:p w14:paraId="27AB3DC5" w14:textId="005502D0"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t>
      </w:r>
      <w:r w:rsidRPr="00C61CE7">
        <w:rPr>
          <w:rFonts w:asciiTheme="minorHAnsi" w:hAnsiTheme="minorHAnsi" w:cstheme="minorHAnsi"/>
          <w:lang w:val="en-US"/>
        </w:rPr>
        <w:t>Case C</w:t>
      </w:r>
      <w:r w:rsidRPr="00C61CE7">
        <w:rPr>
          <w:rFonts w:asciiTheme="minorHAnsi" w:hAnsiTheme="minorHAnsi" w:cstheme="minorHAnsi"/>
          <w:lang w:val="en-US"/>
        </w:rPr>
        <w:noBreakHyphen/>
        <w:t xml:space="preserve">428/15 </w:t>
      </w:r>
      <w:r w:rsidRPr="00C61CE7">
        <w:rPr>
          <w:rFonts w:asciiTheme="minorHAnsi" w:hAnsiTheme="minorHAnsi" w:cstheme="minorHAnsi"/>
          <w:i/>
          <w:lang w:val="en-US"/>
        </w:rPr>
        <w:t xml:space="preserve">Child and Family Agency v J.D. </w:t>
      </w:r>
      <w:r w:rsidRPr="00C61CE7">
        <w:rPr>
          <w:rFonts w:asciiTheme="minorHAnsi" w:hAnsiTheme="minorHAnsi" w:cstheme="minorHAnsi"/>
          <w:lang w:val="en-US"/>
        </w:rPr>
        <w:t>of 27 October 2016</w:t>
      </w:r>
      <w:r w:rsidRPr="00C61CE7">
        <w:rPr>
          <w:rFonts w:asciiTheme="minorHAnsi" w:hAnsiTheme="minorHAnsi" w:cstheme="minorHAnsi"/>
          <w:i/>
          <w:lang w:val="en-US"/>
        </w:rPr>
        <w:t>,</w:t>
      </w:r>
      <w:r w:rsidRPr="00C61CE7">
        <w:rPr>
          <w:rFonts w:asciiTheme="minorHAnsi" w:hAnsiTheme="minorHAnsi" w:cstheme="minorHAnsi"/>
          <w:lang w:val="en-US"/>
        </w:rPr>
        <w:t xml:space="preserve"> EU</w:t>
      </w:r>
      <w:proofErr w:type="gramStart"/>
      <w:r w:rsidRPr="00C61CE7">
        <w:rPr>
          <w:rFonts w:asciiTheme="minorHAnsi" w:hAnsiTheme="minorHAnsi" w:cstheme="minorHAnsi"/>
          <w:lang w:val="en-US"/>
        </w:rPr>
        <w:t>:C:2016:458</w:t>
      </w:r>
      <w:proofErr w:type="gramEnd"/>
      <w:r w:rsidRPr="00C61CE7">
        <w:rPr>
          <w:rFonts w:asciiTheme="minorHAnsi" w:hAnsiTheme="minorHAnsi" w:cstheme="minorHAnsi"/>
          <w:lang w:val="en-US"/>
        </w:rPr>
        <w:t xml:space="preserve"> </w:t>
      </w:r>
      <w:r w:rsidRPr="00C61CE7">
        <w:rPr>
          <w:rFonts w:asciiTheme="minorHAnsi" w:hAnsiTheme="minorHAnsi" w:cstheme="minorHAnsi"/>
        </w:rPr>
        <w:t>at [57]. Here the Court followed</w:t>
      </w:r>
      <w:r w:rsidR="004519C4">
        <w:rPr>
          <w:rFonts w:asciiTheme="minorHAnsi" w:hAnsiTheme="minorHAnsi" w:cstheme="minorHAnsi"/>
        </w:rPr>
        <w:t>, in general,</w:t>
      </w:r>
      <w:r w:rsidRPr="00C61CE7">
        <w:rPr>
          <w:rFonts w:asciiTheme="minorHAnsi" w:hAnsiTheme="minorHAnsi" w:cstheme="minorHAnsi"/>
        </w:rPr>
        <w:t xml:space="preserve"> the guidance from AG </w:t>
      </w:r>
      <w:proofErr w:type="spellStart"/>
      <w:r w:rsidRPr="00C61CE7">
        <w:rPr>
          <w:rFonts w:asciiTheme="minorHAnsi" w:hAnsiTheme="minorHAnsi" w:cstheme="minorHAnsi"/>
        </w:rPr>
        <w:t>Wathelet</w:t>
      </w:r>
      <w:proofErr w:type="spellEnd"/>
      <w:r w:rsidR="004519C4">
        <w:rPr>
          <w:rFonts w:asciiTheme="minorHAnsi" w:hAnsiTheme="minorHAnsi" w:cstheme="minorHAnsi"/>
        </w:rPr>
        <w:t>. He</w:t>
      </w:r>
      <w:r w:rsidRPr="00C61CE7">
        <w:rPr>
          <w:rFonts w:asciiTheme="minorHAnsi" w:hAnsiTheme="minorHAnsi" w:cstheme="minorHAnsi"/>
        </w:rPr>
        <w:t xml:space="preserve"> </w:t>
      </w:r>
      <w:r w:rsidR="004519C4">
        <w:rPr>
          <w:rFonts w:asciiTheme="minorHAnsi" w:hAnsiTheme="minorHAnsi" w:cstheme="minorHAnsi"/>
        </w:rPr>
        <w:t xml:space="preserve">went into more depth saying </w:t>
      </w:r>
      <w:r w:rsidRPr="00C61CE7">
        <w:rPr>
          <w:rFonts w:asciiTheme="minorHAnsi" w:hAnsiTheme="minorHAnsi" w:cstheme="minorHAnsi"/>
        </w:rPr>
        <w:t>at para 86 of his Opinion</w:t>
      </w:r>
      <w:r w:rsidR="004519C4">
        <w:rPr>
          <w:rFonts w:asciiTheme="minorHAnsi" w:hAnsiTheme="minorHAnsi" w:cstheme="minorHAnsi"/>
        </w:rPr>
        <w:t xml:space="preserve"> that</w:t>
      </w:r>
      <w:r w:rsidRPr="00C61CE7">
        <w:rPr>
          <w:rFonts w:asciiTheme="minorHAnsi" w:hAnsiTheme="minorHAnsi" w:cstheme="minorHAnsi"/>
          <w:lang w:val="en-US"/>
        </w:rPr>
        <w:t xml:space="preserve"> </w:t>
      </w:r>
      <w:r w:rsidR="009F19B6">
        <w:rPr>
          <w:rFonts w:asciiTheme="minorHAnsi" w:hAnsiTheme="minorHAnsi" w:cstheme="minorHAnsi"/>
          <w:lang w:val="en-US"/>
        </w:rPr>
        <w:t>‘</w:t>
      </w:r>
      <w:r w:rsidRPr="00C61CE7">
        <w:rPr>
          <w:rFonts w:asciiTheme="minorHAnsi" w:hAnsiTheme="minorHAnsi" w:cstheme="minorHAnsi"/>
          <w:lang w:val="en-US"/>
        </w:rPr>
        <w:t>It is therefore a question not of determining the place where the best outcome as to the substance of the case will be obtained, but of identifying the court best placed to determine that outcome. To that end, an examination of the procedural rules governing the exercise of the jurisdiction of the other court or the practices followed may be useful. They are, by definition, the rules which govern the exercise of jurisdiction.</w:t>
      </w:r>
      <w:r w:rsidR="009F19B6">
        <w:rPr>
          <w:rFonts w:asciiTheme="minorHAnsi" w:hAnsiTheme="minorHAnsi" w:cstheme="minorHAnsi"/>
          <w:lang w:val="en-US"/>
        </w:rPr>
        <w:t>’</w:t>
      </w:r>
      <w:r w:rsidRPr="00C61CE7">
        <w:rPr>
          <w:rFonts w:asciiTheme="minorHAnsi" w:hAnsiTheme="minorHAnsi" w:cstheme="minorHAnsi"/>
        </w:rPr>
        <w:t xml:space="preserve"> and at para 95 added </w:t>
      </w:r>
      <w:r w:rsidR="009F19B6">
        <w:rPr>
          <w:rFonts w:asciiTheme="minorHAnsi" w:hAnsiTheme="minorHAnsi" w:cstheme="minorHAnsi"/>
        </w:rPr>
        <w:t>‘</w:t>
      </w:r>
      <w:r w:rsidRPr="00C61CE7">
        <w:rPr>
          <w:rFonts w:asciiTheme="minorHAnsi" w:hAnsiTheme="minorHAnsi" w:cstheme="minorHAnsi"/>
          <w:lang w:val="en-US"/>
        </w:rPr>
        <w:t>factors such as the language of the proceedings, the availability of relevant evidence concerning, for example, the ability of the parent or parents to provide education and maintenance, the possibility of calling appropriate witnesses and the probability that those witnesses will appear in court, the availability of medical and social reports and the possibility of updating those reports, where appropriate, and even the period within which the judgment will be delivered may have a direct impact on the ability of a court to assess the case in the interests of the child. They may therefore be taken into consideration.</w:t>
      </w:r>
      <w:r w:rsidR="009F19B6">
        <w:rPr>
          <w:rFonts w:asciiTheme="minorHAnsi" w:hAnsiTheme="minorHAnsi" w:cstheme="minorHAnsi"/>
          <w:lang w:val="en-US"/>
        </w:rPr>
        <w:t>’</w:t>
      </w:r>
      <w:r w:rsidRPr="00C61CE7">
        <w:rPr>
          <w:rFonts w:asciiTheme="minorHAnsi" w:hAnsiTheme="minorHAnsi" w:cstheme="minorHAnsi"/>
        </w:rPr>
        <w:t xml:space="preserve">  The UK Supreme Court had earlier decided an Art 15 Brussels </w:t>
      </w:r>
      <w:proofErr w:type="spellStart"/>
      <w:r w:rsidRPr="00C61CE7">
        <w:rPr>
          <w:rFonts w:asciiTheme="minorHAnsi" w:hAnsiTheme="minorHAnsi" w:cstheme="minorHAnsi"/>
        </w:rPr>
        <w:t>IIa</w:t>
      </w:r>
      <w:proofErr w:type="spellEnd"/>
      <w:r w:rsidRPr="00C61CE7">
        <w:rPr>
          <w:rFonts w:asciiTheme="minorHAnsi" w:hAnsiTheme="minorHAnsi" w:cstheme="minorHAnsi"/>
        </w:rPr>
        <w:t xml:space="preserve"> case in </w:t>
      </w:r>
      <w:r w:rsidR="00F3151F" w:rsidRPr="00F3151F">
        <w:rPr>
          <w:rFonts w:asciiTheme="minorHAnsi" w:hAnsiTheme="minorHAnsi" w:cstheme="minorHAnsi"/>
          <w:i/>
          <w:sz w:val="22"/>
          <w:szCs w:val="22"/>
          <w:lang w:val="en-US"/>
        </w:rPr>
        <w:t xml:space="preserve">Re </w:t>
      </w:r>
      <w:r w:rsidR="00F3151F" w:rsidRPr="00F3151F">
        <w:rPr>
          <w:rFonts w:asciiTheme="minorHAnsi" w:hAnsiTheme="minorHAnsi" w:cstheme="minorHAnsi"/>
          <w:i/>
          <w:lang w:val="en-US"/>
        </w:rPr>
        <w:t>N (Adoption: Jurisdiction)</w:t>
      </w:r>
      <w:r w:rsidR="00F3151F" w:rsidRPr="00F3151F">
        <w:rPr>
          <w:rFonts w:asciiTheme="minorHAnsi" w:hAnsiTheme="minorHAnsi" w:cstheme="minorHAnsi"/>
          <w:lang w:val="en-US"/>
        </w:rPr>
        <w:t xml:space="preserve"> [2016] UKSC 15 [2016] 1 FLR 1082</w:t>
      </w:r>
      <w:r w:rsidRPr="00C61CE7">
        <w:rPr>
          <w:rFonts w:asciiTheme="minorHAnsi" w:hAnsiTheme="minorHAnsi" w:cstheme="minorHAnsi"/>
          <w:lang w:val="en-US"/>
        </w:rPr>
        <w:t xml:space="preserve">, see K Trimmings 'Transfer of Jurisdiction and the Best Interests of the Child' (2016) 75 </w:t>
      </w:r>
      <w:r w:rsidRPr="00C61CE7">
        <w:rPr>
          <w:rFonts w:asciiTheme="minorHAnsi" w:hAnsiTheme="minorHAnsi" w:cstheme="minorHAnsi"/>
          <w:i/>
          <w:lang w:val="en-US"/>
        </w:rPr>
        <w:t>Cambridge Law Journal</w:t>
      </w:r>
      <w:r w:rsidRPr="00C61CE7">
        <w:rPr>
          <w:rFonts w:asciiTheme="minorHAnsi" w:hAnsiTheme="minorHAnsi" w:cstheme="minorHAnsi"/>
          <w:lang w:val="en-US"/>
        </w:rPr>
        <w:t xml:space="preserve"> 471. Even though Baker J’s decision, </w:t>
      </w:r>
      <w:r w:rsidR="00590BDF">
        <w:rPr>
          <w:rFonts w:asciiTheme="minorHAnsi" w:hAnsiTheme="minorHAnsi" w:cstheme="minorHAnsi"/>
          <w:lang w:val="en-US"/>
        </w:rPr>
        <w:t>n 39 above</w:t>
      </w:r>
      <w:r w:rsidRPr="00C61CE7">
        <w:rPr>
          <w:rFonts w:asciiTheme="minorHAnsi" w:hAnsiTheme="minorHAnsi" w:cstheme="minorHAnsi"/>
          <w:lang w:val="en-US"/>
        </w:rPr>
        <w:t xml:space="preserve">, was after the UK Supreme Court’s decision he did not refer to it in his judgment perhaps indicating that he knew that the transfer provisions in the Hague Convention require a separate interpretation from Art 15 of Brussels </w:t>
      </w:r>
      <w:proofErr w:type="spellStart"/>
      <w:r w:rsidRPr="00C61CE7">
        <w:rPr>
          <w:rFonts w:asciiTheme="minorHAnsi" w:hAnsiTheme="minorHAnsi" w:cstheme="minorHAnsi"/>
          <w:lang w:val="en-US"/>
        </w:rPr>
        <w:t>IIa</w:t>
      </w:r>
      <w:proofErr w:type="spellEnd"/>
      <w:r w:rsidRPr="00C61CE7">
        <w:rPr>
          <w:rFonts w:asciiTheme="minorHAnsi" w:hAnsiTheme="minorHAnsi" w:cstheme="minorHAnsi"/>
          <w:lang w:val="en-US"/>
        </w:rPr>
        <w:t>.</w:t>
      </w:r>
    </w:p>
  </w:footnote>
  <w:footnote w:id="42">
    <w:p w14:paraId="6F6D7B37" w14:textId="63660F9D"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Art 15(4) and (5). The Practical Handbook</w:t>
      </w:r>
      <w:r w:rsidR="00D22332">
        <w:rPr>
          <w:rFonts w:asciiTheme="minorHAnsi" w:hAnsiTheme="minorHAnsi" w:cstheme="minorHAnsi"/>
        </w:rPr>
        <w:t>, n 36 above,</w:t>
      </w:r>
      <w:r w:rsidRPr="00C61CE7">
        <w:rPr>
          <w:rFonts w:asciiTheme="minorHAnsi" w:hAnsiTheme="minorHAnsi" w:cstheme="minorHAnsi"/>
        </w:rPr>
        <w:t xml:space="preserve"> suggests some ways to minimise the risk of parallel proceedings under Hague 1996 at para 5.11.</w:t>
      </w:r>
    </w:p>
  </w:footnote>
  <w:footnote w:id="43">
    <w:p w14:paraId="561CE637" w14:textId="1DFE8826"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the limits acknowledged by the Practical Handbook</w:t>
      </w:r>
      <w:r w:rsidR="00D22332">
        <w:rPr>
          <w:rFonts w:asciiTheme="minorHAnsi" w:hAnsiTheme="minorHAnsi" w:cstheme="minorHAnsi"/>
        </w:rPr>
        <w:t>, ibid,</w:t>
      </w:r>
      <w:r w:rsidRPr="00C61CE7">
        <w:rPr>
          <w:rFonts w:asciiTheme="minorHAnsi" w:hAnsiTheme="minorHAnsi" w:cstheme="minorHAnsi"/>
        </w:rPr>
        <w:t xml:space="preserve"> at para 5.1 even though the </w:t>
      </w:r>
      <w:proofErr w:type="spellStart"/>
      <w:r w:rsidRPr="00C61CE7">
        <w:rPr>
          <w:rFonts w:asciiTheme="minorHAnsi" w:hAnsiTheme="minorHAnsi" w:cstheme="minorHAnsi"/>
        </w:rPr>
        <w:t>Lagarde</w:t>
      </w:r>
      <w:proofErr w:type="spellEnd"/>
      <w:r w:rsidRPr="00C61CE7">
        <w:rPr>
          <w:rFonts w:asciiTheme="minorHAnsi" w:hAnsiTheme="minorHAnsi" w:cstheme="minorHAnsi"/>
        </w:rPr>
        <w:t xml:space="preserve"> Explanatory Report </w:t>
      </w:r>
      <w:r w:rsidR="00A40FC2">
        <w:rPr>
          <w:rFonts w:asciiTheme="minorHAnsi" w:hAnsiTheme="minorHAnsi" w:cstheme="minorHAnsi"/>
        </w:rPr>
        <w:t>n 34 above</w:t>
      </w:r>
      <w:r w:rsidRPr="00C61CE7">
        <w:rPr>
          <w:rFonts w:asciiTheme="minorHAnsi" w:hAnsiTheme="minorHAnsi" w:cstheme="minorHAnsi"/>
        </w:rPr>
        <w:t xml:space="preserve">, at para 58, regarded the inability to request a transfer from the court of the child’s physical presence as an </w:t>
      </w:r>
      <w:r w:rsidR="009F19B6">
        <w:rPr>
          <w:rFonts w:asciiTheme="minorHAnsi" w:hAnsiTheme="minorHAnsi" w:cstheme="minorHAnsi"/>
        </w:rPr>
        <w:t>‘</w:t>
      </w:r>
      <w:r w:rsidRPr="00C61CE7">
        <w:rPr>
          <w:rFonts w:asciiTheme="minorHAnsi" w:hAnsiTheme="minorHAnsi" w:cstheme="minorHAnsi"/>
        </w:rPr>
        <w:t>oversight</w:t>
      </w:r>
      <w:r w:rsidR="009F19B6">
        <w:rPr>
          <w:rFonts w:asciiTheme="minorHAnsi" w:hAnsiTheme="minorHAnsi" w:cstheme="minorHAnsi"/>
        </w:rPr>
        <w:t>’</w:t>
      </w:r>
      <w:r w:rsidRPr="00C61CE7">
        <w:rPr>
          <w:rFonts w:asciiTheme="minorHAnsi" w:hAnsiTheme="minorHAnsi" w:cstheme="minorHAnsi"/>
        </w:rPr>
        <w:t xml:space="preserve"> which could be overlooked.</w:t>
      </w:r>
      <w:r w:rsidR="00A40FC2">
        <w:rPr>
          <w:rFonts w:asciiTheme="minorHAnsi" w:hAnsiTheme="minorHAnsi" w:cstheme="minorHAnsi"/>
        </w:rPr>
        <w:t xml:space="preserve"> </w:t>
      </w:r>
    </w:p>
  </w:footnote>
  <w:footnote w:id="44">
    <w:p w14:paraId="2DB8A1ED" w14:textId="77777777"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On the doctrine of </w:t>
      </w:r>
      <w:r w:rsidRPr="00C61CE7">
        <w:rPr>
          <w:rFonts w:asciiTheme="minorHAnsi" w:hAnsiTheme="minorHAnsi" w:cstheme="minorHAnsi"/>
          <w:i/>
        </w:rPr>
        <w:t xml:space="preserve">forum non </w:t>
      </w:r>
      <w:proofErr w:type="spellStart"/>
      <w:r w:rsidRPr="00C61CE7">
        <w:rPr>
          <w:rFonts w:asciiTheme="minorHAnsi" w:hAnsiTheme="minorHAnsi" w:cstheme="minorHAnsi"/>
          <w:i/>
        </w:rPr>
        <w:t>conveniens</w:t>
      </w:r>
      <w:proofErr w:type="spellEnd"/>
      <w:r w:rsidRPr="00C61CE7">
        <w:rPr>
          <w:rFonts w:asciiTheme="minorHAnsi" w:hAnsiTheme="minorHAnsi" w:cstheme="minorHAnsi"/>
        </w:rPr>
        <w:t xml:space="preserve"> – Scotland’s greatest legal export - see P Beaumont and P </w:t>
      </w:r>
      <w:proofErr w:type="spellStart"/>
      <w:r w:rsidRPr="00C61CE7">
        <w:rPr>
          <w:rFonts w:asciiTheme="minorHAnsi" w:hAnsiTheme="minorHAnsi" w:cstheme="minorHAnsi"/>
        </w:rPr>
        <w:t>McEleavy</w:t>
      </w:r>
      <w:proofErr w:type="spellEnd"/>
      <w:r w:rsidRPr="00C61CE7">
        <w:rPr>
          <w:rFonts w:asciiTheme="minorHAnsi" w:hAnsiTheme="minorHAnsi" w:cstheme="minorHAnsi"/>
        </w:rPr>
        <w:t xml:space="preserve">, </w:t>
      </w:r>
      <w:r w:rsidRPr="00C61CE7">
        <w:rPr>
          <w:rFonts w:asciiTheme="minorHAnsi" w:hAnsiTheme="minorHAnsi" w:cstheme="minorHAnsi"/>
          <w:i/>
        </w:rPr>
        <w:t>Anton’s Private International Law</w:t>
      </w:r>
      <w:r w:rsidRPr="00C61CE7">
        <w:rPr>
          <w:rFonts w:asciiTheme="minorHAnsi" w:hAnsiTheme="minorHAnsi" w:cstheme="minorHAnsi"/>
        </w:rPr>
        <w:t xml:space="preserve"> (3</w:t>
      </w:r>
      <w:r w:rsidRPr="00C61CE7">
        <w:rPr>
          <w:rFonts w:asciiTheme="minorHAnsi" w:hAnsiTheme="minorHAnsi" w:cstheme="minorHAnsi"/>
          <w:vertAlign w:val="superscript"/>
        </w:rPr>
        <w:t>rd</w:t>
      </w:r>
      <w:r w:rsidRPr="00C61CE7">
        <w:rPr>
          <w:rFonts w:asciiTheme="minorHAnsi" w:hAnsiTheme="minorHAnsi" w:cstheme="minorHAnsi"/>
        </w:rPr>
        <w:t xml:space="preserve"> </w:t>
      </w:r>
      <w:proofErr w:type="spellStart"/>
      <w:r w:rsidRPr="00C61CE7">
        <w:rPr>
          <w:rFonts w:asciiTheme="minorHAnsi" w:hAnsiTheme="minorHAnsi" w:cstheme="minorHAnsi"/>
        </w:rPr>
        <w:t>edn</w:t>
      </w:r>
      <w:proofErr w:type="spellEnd"/>
      <w:r w:rsidRPr="00C61CE7">
        <w:rPr>
          <w:rFonts w:asciiTheme="minorHAnsi" w:hAnsiTheme="minorHAnsi" w:cstheme="minorHAnsi"/>
        </w:rPr>
        <w:t xml:space="preserve">, SULI, 2011) 359-367 and for its origins in the Scottish mixed legal system before spreading throughout the common law world see A </w:t>
      </w:r>
      <w:proofErr w:type="spellStart"/>
      <w:r w:rsidRPr="00C61CE7">
        <w:rPr>
          <w:rFonts w:asciiTheme="minorHAnsi" w:hAnsiTheme="minorHAnsi" w:cstheme="minorHAnsi"/>
        </w:rPr>
        <w:t>Arzandeh</w:t>
      </w:r>
      <w:proofErr w:type="spellEnd"/>
      <w:r w:rsidRPr="00C61CE7">
        <w:rPr>
          <w:rFonts w:asciiTheme="minorHAnsi" w:hAnsiTheme="minorHAnsi" w:cstheme="minorHAnsi"/>
        </w:rPr>
        <w:t xml:space="preserve">, ‘The origins of the Scottish </w:t>
      </w:r>
      <w:r w:rsidRPr="00C61CE7">
        <w:rPr>
          <w:rFonts w:asciiTheme="minorHAnsi" w:hAnsiTheme="minorHAnsi" w:cstheme="minorHAnsi"/>
          <w:i/>
        </w:rPr>
        <w:t xml:space="preserve">forum non </w:t>
      </w:r>
      <w:proofErr w:type="spellStart"/>
      <w:r w:rsidRPr="00C61CE7">
        <w:rPr>
          <w:rFonts w:asciiTheme="minorHAnsi" w:hAnsiTheme="minorHAnsi" w:cstheme="minorHAnsi"/>
          <w:i/>
        </w:rPr>
        <w:t>conveniens</w:t>
      </w:r>
      <w:proofErr w:type="spellEnd"/>
      <w:r w:rsidRPr="00C61CE7">
        <w:rPr>
          <w:rFonts w:asciiTheme="minorHAnsi" w:hAnsiTheme="minorHAnsi" w:cstheme="minorHAnsi"/>
        </w:rPr>
        <w:t xml:space="preserve"> doctrine’ (2017) 13 </w:t>
      </w:r>
      <w:r w:rsidRPr="00C61CE7">
        <w:rPr>
          <w:rFonts w:asciiTheme="minorHAnsi" w:hAnsiTheme="minorHAnsi" w:cstheme="minorHAnsi"/>
          <w:i/>
        </w:rPr>
        <w:t>Journal of Private International Law</w:t>
      </w:r>
      <w:r w:rsidRPr="00C61CE7">
        <w:rPr>
          <w:rFonts w:asciiTheme="minorHAnsi" w:hAnsiTheme="minorHAnsi" w:cstheme="minorHAnsi"/>
        </w:rPr>
        <w:t xml:space="preserve"> 130.</w:t>
      </w:r>
    </w:p>
  </w:footnote>
  <w:footnote w:id="45">
    <w:p w14:paraId="1F28C1B0" w14:textId="77777777"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the </w:t>
      </w:r>
      <w:proofErr w:type="spellStart"/>
      <w:r w:rsidRPr="00C61CE7">
        <w:rPr>
          <w:rFonts w:asciiTheme="minorHAnsi" w:hAnsiTheme="minorHAnsi" w:cstheme="minorHAnsi"/>
        </w:rPr>
        <w:t>Lagarde</w:t>
      </w:r>
      <w:proofErr w:type="spellEnd"/>
      <w:r w:rsidRPr="00C61CE7">
        <w:rPr>
          <w:rFonts w:asciiTheme="minorHAnsi" w:hAnsiTheme="minorHAnsi" w:cstheme="minorHAnsi"/>
        </w:rPr>
        <w:t xml:space="preserve"> Explanatory Report </w:t>
      </w:r>
      <w:r w:rsidR="00A40FC2">
        <w:rPr>
          <w:rFonts w:asciiTheme="minorHAnsi" w:hAnsiTheme="minorHAnsi" w:cstheme="minorHAnsi"/>
        </w:rPr>
        <w:t>n 34 above</w:t>
      </w:r>
      <w:r w:rsidRPr="00C61CE7">
        <w:rPr>
          <w:rFonts w:asciiTheme="minorHAnsi" w:hAnsiTheme="minorHAnsi" w:cstheme="minorHAnsi"/>
        </w:rPr>
        <w:t xml:space="preserve"> at para 52.</w:t>
      </w:r>
    </w:p>
  </w:footnote>
  <w:footnote w:id="46">
    <w:p w14:paraId="799B4670" w14:textId="1378FC79" w:rsidR="004127CA" w:rsidRPr="00C61CE7" w:rsidRDefault="004127CA" w:rsidP="004127CA">
      <w:pPr>
        <w:pStyle w:val="FootnoteText"/>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See AG </w:t>
      </w:r>
      <w:proofErr w:type="spellStart"/>
      <w:r w:rsidRPr="00C61CE7">
        <w:rPr>
          <w:rFonts w:asciiTheme="minorHAnsi" w:hAnsiTheme="minorHAnsi" w:cstheme="minorHAnsi"/>
        </w:rPr>
        <w:t>Wathelet’s</w:t>
      </w:r>
      <w:proofErr w:type="spellEnd"/>
      <w:r w:rsidRPr="00C61CE7">
        <w:rPr>
          <w:rFonts w:asciiTheme="minorHAnsi" w:hAnsiTheme="minorHAnsi" w:cstheme="minorHAnsi"/>
        </w:rPr>
        <w:t xml:space="preserve"> Opinion in Case C-</w:t>
      </w:r>
      <w:r w:rsidRPr="00C61CE7">
        <w:rPr>
          <w:rFonts w:asciiTheme="minorHAnsi" w:hAnsiTheme="minorHAnsi" w:cstheme="minorHAnsi"/>
          <w:lang w:val="en-US"/>
        </w:rPr>
        <w:t xml:space="preserve">428/15 </w:t>
      </w:r>
      <w:r w:rsidRPr="00C61CE7">
        <w:rPr>
          <w:rFonts w:asciiTheme="minorHAnsi" w:hAnsiTheme="minorHAnsi" w:cstheme="minorHAnsi"/>
          <w:i/>
          <w:lang w:val="en-US"/>
        </w:rPr>
        <w:t xml:space="preserve">Child and Family Agency v J.D. </w:t>
      </w:r>
      <w:r w:rsidRPr="00C61CE7">
        <w:rPr>
          <w:rFonts w:asciiTheme="minorHAnsi" w:hAnsiTheme="minorHAnsi" w:cstheme="minorHAnsi"/>
          <w:lang w:val="en-US"/>
        </w:rPr>
        <w:t>EU:C:2016:458</w:t>
      </w:r>
      <w:r w:rsidRPr="00C61CE7">
        <w:rPr>
          <w:rFonts w:asciiTheme="minorHAnsi" w:hAnsiTheme="minorHAnsi" w:cstheme="minorHAnsi"/>
          <w:i/>
          <w:lang w:val="en-US"/>
        </w:rPr>
        <w:t xml:space="preserve"> </w:t>
      </w:r>
      <w:r w:rsidRPr="00C61CE7">
        <w:rPr>
          <w:rFonts w:asciiTheme="minorHAnsi" w:hAnsiTheme="minorHAnsi" w:cstheme="minorHAnsi"/>
          <w:lang w:val="en-US"/>
        </w:rPr>
        <w:t>at paras 61-62 and the Court’s judgment at para 51.</w:t>
      </w:r>
      <w:r w:rsidRPr="00C61CE7">
        <w:rPr>
          <w:rFonts w:asciiTheme="minorHAnsi" w:hAnsiTheme="minorHAnsi" w:cstheme="minorHAnsi"/>
          <w:i/>
          <w:lang w:val="en-US"/>
        </w:rPr>
        <w:t xml:space="preserve"> </w:t>
      </w:r>
    </w:p>
  </w:footnote>
  <w:footnote w:id="47">
    <w:p w14:paraId="54EA3E28" w14:textId="77777777" w:rsidR="004127CA" w:rsidRPr="00C61CE7" w:rsidRDefault="004127CA" w:rsidP="004127CA">
      <w:pPr>
        <w:pStyle w:val="FootnoteText"/>
        <w:jc w:val="both"/>
        <w:rPr>
          <w:rFonts w:asciiTheme="minorHAnsi" w:hAnsiTheme="minorHAnsi" w:cstheme="minorHAnsi"/>
        </w:rPr>
      </w:pPr>
      <w:r w:rsidRPr="00C61CE7">
        <w:rPr>
          <w:rStyle w:val="FootnoteReference"/>
          <w:rFonts w:asciiTheme="minorHAnsi" w:hAnsiTheme="minorHAnsi" w:cstheme="minorHAnsi"/>
        </w:rPr>
        <w:footnoteRef/>
      </w:r>
      <w:r w:rsidRPr="00C61CE7">
        <w:rPr>
          <w:rFonts w:asciiTheme="minorHAnsi" w:hAnsiTheme="minorHAnsi" w:cstheme="minorHAnsi"/>
        </w:rPr>
        <w:t xml:space="preserve"> </w:t>
      </w:r>
      <w:r w:rsidRPr="00C61CE7">
        <w:rPr>
          <w:rFonts w:asciiTheme="minorHAnsi" w:hAnsiTheme="minorHAnsi" w:cstheme="minorHAnsi"/>
          <w:lang w:val="en-US"/>
        </w:rPr>
        <w:t xml:space="preserve">See the </w:t>
      </w:r>
      <w:proofErr w:type="spellStart"/>
      <w:r w:rsidRPr="00C61CE7">
        <w:rPr>
          <w:rFonts w:asciiTheme="minorHAnsi" w:hAnsiTheme="minorHAnsi" w:cstheme="minorHAnsi"/>
          <w:lang w:val="en-US"/>
        </w:rPr>
        <w:t>Lagarde</w:t>
      </w:r>
      <w:proofErr w:type="spellEnd"/>
      <w:r w:rsidRPr="00C61CE7">
        <w:rPr>
          <w:rFonts w:asciiTheme="minorHAnsi" w:hAnsiTheme="minorHAnsi" w:cstheme="minorHAnsi"/>
          <w:lang w:val="en-US"/>
        </w:rPr>
        <w:t xml:space="preserve"> Explanatory Report </w:t>
      </w:r>
      <w:r w:rsidR="00A40FC2">
        <w:rPr>
          <w:rFonts w:asciiTheme="minorHAnsi" w:hAnsiTheme="minorHAnsi" w:cstheme="minorHAnsi"/>
          <w:lang w:val="en-US"/>
        </w:rPr>
        <w:t xml:space="preserve">n 34 above </w:t>
      </w:r>
      <w:r w:rsidRPr="00C61CE7">
        <w:rPr>
          <w:rFonts w:asciiTheme="minorHAnsi" w:hAnsiTheme="minorHAnsi" w:cstheme="minorHAnsi"/>
        </w:rPr>
        <w:t xml:space="preserve">at para 55. Only the former of </w:t>
      </w:r>
      <w:proofErr w:type="spellStart"/>
      <w:r w:rsidRPr="00C61CE7">
        <w:rPr>
          <w:rFonts w:asciiTheme="minorHAnsi" w:hAnsiTheme="minorHAnsi" w:cstheme="minorHAnsi"/>
        </w:rPr>
        <w:t>Lagarde’s</w:t>
      </w:r>
      <w:proofErr w:type="spellEnd"/>
      <w:r w:rsidRPr="00C61CE7">
        <w:rPr>
          <w:rFonts w:asciiTheme="minorHAnsi" w:hAnsiTheme="minorHAnsi" w:cstheme="minorHAnsi"/>
        </w:rPr>
        <w:t xml:space="preserve"> two examples is covered by the exhaustive list in Art 15(3) of Brussels </w:t>
      </w:r>
      <w:proofErr w:type="spellStart"/>
      <w:r w:rsidRPr="00C61CE7">
        <w:rPr>
          <w:rFonts w:asciiTheme="minorHAnsi" w:hAnsiTheme="minorHAnsi" w:cstheme="minorHAnsi"/>
        </w:rPr>
        <w:t>IIa</w:t>
      </w:r>
      <w:proofErr w:type="spellEnd"/>
      <w:r w:rsidRPr="00C61CE7">
        <w:rPr>
          <w:rFonts w:asciiTheme="minorHAnsi" w:hAnsiTheme="minorHAnsi" w:cstheme="minorHAnsi"/>
        </w:rPr>
        <w:t>.</w:t>
      </w:r>
    </w:p>
  </w:footnote>
  <w:footnote w:id="48">
    <w:p w14:paraId="395F6DF5" w14:textId="77777777" w:rsidR="00641AA4" w:rsidRDefault="00641AA4" w:rsidP="005766C8">
      <w:pPr>
        <w:pStyle w:val="FootnoteText"/>
        <w:jc w:val="both"/>
      </w:pPr>
      <w:r>
        <w:rPr>
          <w:rStyle w:val="FootnoteReference"/>
        </w:rPr>
        <w:footnoteRef/>
      </w:r>
      <w:r>
        <w:t xml:space="preserve"> </w:t>
      </w:r>
      <w:r w:rsidR="00DE5731">
        <w:t>Thanks</w:t>
      </w:r>
      <w:r>
        <w:t xml:space="preserve"> to Lara Walker for pointing this out.</w:t>
      </w:r>
    </w:p>
  </w:footnote>
  <w:footnote w:id="49">
    <w:p w14:paraId="1D0A1949" w14:textId="5B08E5E9" w:rsidR="00A478E6" w:rsidRDefault="00A478E6" w:rsidP="005766C8">
      <w:pPr>
        <w:pStyle w:val="FootnoteText"/>
        <w:jc w:val="both"/>
      </w:pPr>
      <w:r>
        <w:rPr>
          <w:rStyle w:val="FootnoteReference"/>
        </w:rPr>
        <w:footnoteRef/>
      </w:r>
      <w:r>
        <w:t xml:space="preserve"> See the work of the Experts’ Group at The Hague on Family Agreements involving Children that </w:t>
      </w:r>
      <w:r w:rsidR="00935221">
        <w:t xml:space="preserve">the present author has </w:t>
      </w:r>
      <w:r>
        <w:t xml:space="preserve">the privilege of chairing at </w:t>
      </w:r>
      <w:hyperlink r:id="rId11" w:history="1">
        <w:r w:rsidRPr="00650D8E">
          <w:rPr>
            <w:rStyle w:val="Hyperlink"/>
          </w:rPr>
          <w:t>https://www.hcch.net/en/projects/legislative-projects/recognition-and-enforcement-of-agreements</w:t>
        </w:r>
      </w:hyperlink>
      <w:r>
        <w:t xml:space="preserve"> accessed on 6 April 2017. It is worth noting that Brussels </w:t>
      </w:r>
      <w:proofErr w:type="spellStart"/>
      <w:r>
        <w:t>IIa</w:t>
      </w:r>
      <w:proofErr w:type="spellEnd"/>
      <w:r>
        <w:t xml:space="preserve"> partially helps with this problem compared to Hague 1996 in that Art 46 provides that </w:t>
      </w:r>
      <w:r w:rsidR="009F19B6">
        <w:t>‘</w:t>
      </w:r>
      <w:r>
        <w:t>agreements between the parties [on parental responsibility and/or access] that are enforceable in the Member State in which they were concluded shall be recognised and declared enforceable under the same conditions as judgments.</w:t>
      </w:r>
      <w:r w:rsidR="009F19B6">
        <w:t>’</w:t>
      </w:r>
      <w:r>
        <w:t xml:space="preserve"> The Commission Proposal for a Recast makes this Art 55 and changes </w:t>
      </w:r>
      <w:r w:rsidR="009F19B6">
        <w:t>‘</w:t>
      </w:r>
      <w:r>
        <w:t>declared enforceable</w:t>
      </w:r>
      <w:r w:rsidR="009F19B6">
        <w:t>’</w:t>
      </w:r>
      <w:r>
        <w:t xml:space="preserve"> to </w:t>
      </w:r>
      <w:r w:rsidR="009F19B6">
        <w:t>‘</w:t>
      </w:r>
      <w:r>
        <w:t>enforced</w:t>
      </w:r>
      <w:r w:rsidR="009F19B6">
        <w:t>’</w:t>
      </w:r>
      <w:r>
        <w:t xml:space="preserve"> and </w:t>
      </w:r>
      <w:r w:rsidR="009F19B6">
        <w:t>‘</w:t>
      </w:r>
      <w:r>
        <w:t>judgments</w:t>
      </w:r>
      <w:r w:rsidR="009F19B6">
        <w:t>’</w:t>
      </w:r>
      <w:r>
        <w:t xml:space="preserve"> to </w:t>
      </w:r>
      <w:r w:rsidR="009F19B6">
        <w:t>‘</w:t>
      </w:r>
      <w:r>
        <w:t>decisions</w:t>
      </w:r>
      <w:r w:rsidR="009F19B6">
        <w:t>’</w:t>
      </w:r>
      <w:r>
        <w:t>.</w:t>
      </w:r>
    </w:p>
  </w:footnote>
  <w:footnote w:id="50">
    <w:p w14:paraId="2778D1B9" w14:textId="77777777" w:rsidR="00A478E6" w:rsidRDefault="00A478E6" w:rsidP="005766C8">
      <w:pPr>
        <w:pStyle w:val="FootnoteText"/>
        <w:jc w:val="both"/>
      </w:pPr>
      <w:r>
        <w:rPr>
          <w:rStyle w:val="FootnoteReference"/>
        </w:rPr>
        <w:footnoteRef/>
      </w:r>
      <w:r>
        <w:t xml:space="preserve"> Art 25 of Hague 1996.</w:t>
      </w:r>
    </w:p>
  </w:footnote>
  <w:footnote w:id="51">
    <w:p w14:paraId="611275A1" w14:textId="671EDDEA" w:rsidR="00A478E6" w:rsidRPr="00F34C3C" w:rsidRDefault="00A478E6" w:rsidP="005766C8">
      <w:pPr>
        <w:pStyle w:val="FootnoteText"/>
        <w:jc w:val="both"/>
      </w:pPr>
      <w:r>
        <w:rPr>
          <w:rStyle w:val="FootnoteReference"/>
        </w:rPr>
        <w:footnoteRef/>
      </w:r>
      <w:r>
        <w:t xml:space="preserve"> See</w:t>
      </w:r>
      <w:r w:rsidR="004703C4" w:rsidRPr="004703C4">
        <w:rPr>
          <w:bCs/>
          <w:sz w:val="22"/>
          <w:szCs w:val="22"/>
        </w:rPr>
        <w:t xml:space="preserve"> </w:t>
      </w:r>
      <w:r w:rsidR="004703C4" w:rsidRPr="004703C4">
        <w:rPr>
          <w:bCs/>
        </w:rPr>
        <w:t>P Beaumont and J Holliday</w:t>
      </w:r>
      <w:r>
        <w:t xml:space="preserve"> </w:t>
      </w:r>
      <w:r w:rsidR="004703C4">
        <w:t>‘</w:t>
      </w:r>
      <w:hyperlink r:id="rId12" w:tgtFrame="_blank" w:tooltip="Recent Developments on the Meaning of Habitual Residence in Alleged Child Abduction Cases" w:history="1">
        <w:r w:rsidRPr="004703C4">
          <w:rPr>
            <w:rStyle w:val="Hyperlink"/>
            <w:color w:val="auto"/>
            <w:u w:val="none"/>
          </w:rPr>
          <w:t xml:space="preserve">Recent Developments on the Meaning of </w:t>
        </w:r>
        <w:r w:rsidR="009F19B6">
          <w:rPr>
            <w:rStyle w:val="Hyperlink"/>
            <w:color w:val="auto"/>
            <w:u w:val="none"/>
          </w:rPr>
          <w:t>‘</w:t>
        </w:r>
        <w:r w:rsidRPr="004703C4">
          <w:rPr>
            <w:rStyle w:val="Hyperlink"/>
            <w:color w:val="auto"/>
            <w:u w:val="none"/>
          </w:rPr>
          <w:t>Habitual Residence</w:t>
        </w:r>
        <w:r w:rsidR="009F19B6">
          <w:rPr>
            <w:rStyle w:val="Hyperlink"/>
            <w:color w:val="auto"/>
            <w:u w:val="none"/>
          </w:rPr>
          <w:t>’</w:t>
        </w:r>
        <w:r w:rsidRPr="004703C4">
          <w:rPr>
            <w:rStyle w:val="Hyperlink"/>
            <w:color w:val="auto"/>
            <w:u w:val="none"/>
          </w:rPr>
          <w:t xml:space="preserve"> in Alleged Child Abduction Cases</w:t>
        </w:r>
      </w:hyperlink>
      <w:r w:rsidR="004703C4">
        <w:t>’</w:t>
      </w:r>
      <w:r w:rsidRPr="009A2191">
        <w:t xml:space="preserve"> </w:t>
      </w:r>
      <w:r w:rsidR="004703C4" w:rsidRPr="004703C4">
        <w:t xml:space="preserve">Centre for Private International Law Working Paper No. 2015/3 </w:t>
      </w:r>
      <w:r>
        <w:rPr>
          <w:bCs/>
        </w:rPr>
        <w:t xml:space="preserve">available at </w:t>
      </w:r>
      <w:hyperlink r:id="rId13" w:history="1">
        <w:r w:rsidR="002D2CAA" w:rsidRPr="002B19F0">
          <w:rPr>
            <w:rStyle w:val="Hyperlink"/>
            <w:bCs/>
          </w:rPr>
          <w:t>http://www.abdn.ac.uk/law/research/working-papers-455.php accessed 10 April 2017</w:t>
        </w:r>
      </w:hyperlink>
      <w:r w:rsidR="002D2CAA">
        <w:rPr>
          <w:bCs/>
        </w:rPr>
        <w:t xml:space="preserve">, cited by AG Wahl in Case C-111/17 PPU </w:t>
      </w:r>
      <w:r w:rsidR="002D2CAA" w:rsidRPr="002D2CAA">
        <w:rPr>
          <w:bCs/>
          <w:i/>
          <w:iCs/>
        </w:rPr>
        <w:t xml:space="preserve">OL </w:t>
      </w:r>
      <w:r w:rsidR="002D2CAA" w:rsidRPr="002D2CAA">
        <w:rPr>
          <w:bCs/>
          <w:iCs/>
        </w:rPr>
        <w:t>EU:C:2017:436</w:t>
      </w:r>
      <w:r>
        <w:rPr>
          <w:bCs/>
        </w:rPr>
        <w:t>.</w:t>
      </w:r>
    </w:p>
  </w:footnote>
  <w:footnote w:id="52">
    <w:p w14:paraId="1C379003" w14:textId="7F558958" w:rsidR="00A478E6" w:rsidRDefault="00A478E6" w:rsidP="005766C8">
      <w:pPr>
        <w:pStyle w:val="FootnoteText"/>
        <w:jc w:val="both"/>
      </w:pPr>
      <w:r>
        <w:rPr>
          <w:rStyle w:val="FootnoteReference"/>
        </w:rPr>
        <w:footnoteRef/>
      </w:r>
      <w:r>
        <w:t xml:space="preserve"> This is discernible from the </w:t>
      </w:r>
      <w:proofErr w:type="spellStart"/>
      <w:r>
        <w:t>Lagarde</w:t>
      </w:r>
      <w:proofErr w:type="spellEnd"/>
      <w:r>
        <w:t xml:space="preserve"> Explanatory Report, n 3</w:t>
      </w:r>
      <w:r w:rsidR="00A40FC2">
        <w:t>4</w:t>
      </w:r>
      <w:r>
        <w:t xml:space="preserve"> </w:t>
      </w:r>
      <w:r w:rsidR="00946FE1">
        <w:t xml:space="preserve">above </w:t>
      </w:r>
      <w:r>
        <w:t xml:space="preserve">at para 131 </w:t>
      </w:r>
      <w:r w:rsidR="00946FE1">
        <w:t>on</w:t>
      </w:r>
      <w:r>
        <w:t xml:space="preserve"> Art 25: </w:t>
      </w:r>
      <w:r w:rsidR="009F19B6">
        <w:t>‘</w:t>
      </w:r>
      <w:r w:rsidRPr="00B36103">
        <w:t>If, for example, the authority of origin decided as an</w:t>
      </w:r>
      <w:r>
        <w:t xml:space="preserve"> </w:t>
      </w:r>
      <w:r w:rsidRPr="00B36103">
        <w:t>authority of the State of the child’s</w:t>
      </w:r>
      <w:r>
        <w:t xml:space="preserve"> </w:t>
      </w:r>
      <w:r w:rsidRPr="00B36103">
        <w:t>habitual residence,</w:t>
      </w:r>
      <w:r>
        <w:t xml:space="preserve"> </w:t>
      </w:r>
      <w:r w:rsidRPr="00B36103">
        <w:t>the authority of the requested State will not be able to</w:t>
      </w:r>
      <w:r>
        <w:t xml:space="preserve"> </w:t>
      </w:r>
      <w:r w:rsidRPr="00B36103">
        <w:t xml:space="preserve">review the facts on which the authority of origin </w:t>
      </w:r>
      <w:r w:rsidRPr="00B36103">
        <w:rPr>
          <w:i/>
        </w:rPr>
        <w:t>based its assessment</w:t>
      </w:r>
      <w:r w:rsidRPr="00B36103">
        <w:t xml:space="preserve"> of habitual residence.</w:t>
      </w:r>
      <w:r w:rsidR="009F19B6">
        <w:t>’</w:t>
      </w:r>
      <w:r>
        <w:t xml:space="preserve"> (emphasis added)</w:t>
      </w:r>
    </w:p>
  </w:footnote>
  <w:footnote w:id="53">
    <w:p w14:paraId="1A9C737F" w14:textId="77777777" w:rsidR="00A478E6" w:rsidRDefault="00A478E6" w:rsidP="005766C8">
      <w:pPr>
        <w:pStyle w:val="FootnoteText"/>
        <w:jc w:val="both"/>
      </w:pPr>
      <w:r>
        <w:rPr>
          <w:rStyle w:val="FootnoteReference"/>
        </w:rPr>
        <w:footnoteRef/>
      </w:r>
      <w:r>
        <w:t xml:space="preserve"> Compare Arts 23 and 26 of Brussels </w:t>
      </w:r>
      <w:proofErr w:type="spellStart"/>
      <w:r>
        <w:t>IIa</w:t>
      </w:r>
      <w:proofErr w:type="spellEnd"/>
      <w:r>
        <w:t xml:space="preserve"> with Arts 23 and 27 of Hague 1996. Both systems contain a public policy exception, an exception where the person claiming that the measure infringes his or her parental responsibility was not given an opportunity to be heard and an exception for a conflict with a later measure given in a third State that is recognisable in the requested State. </w:t>
      </w:r>
    </w:p>
  </w:footnote>
  <w:footnote w:id="54">
    <w:p w14:paraId="7F078FA5" w14:textId="77777777" w:rsidR="00A478E6" w:rsidRDefault="00A478E6" w:rsidP="005766C8">
      <w:pPr>
        <w:pStyle w:val="FootnoteText"/>
        <w:jc w:val="both"/>
      </w:pPr>
      <w:r>
        <w:rPr>
          <w:rStyle w:val="FootnoteReference"/>
        </w:rPr>
        <w:footnoteRef/>
      </w:r>
      <w:r>
        <w:t xml:space="preserve">  It </w:t>
      </w:r>
      <w:r w:rsidR="003E2DD1">
        <w:t>would</w:t>
      </w:r>
      <w:r>
        <w:t xml:space="preserve"> abolish the exequatur </w:t>
      </w:r>
      <w:r w:rsidR="00EC49D6">
        <w:t>(</w:t>
      </w:r>
      <w:r>
        <w:t>declaration of enforceability stage</w:t>
      </w:r>
      <w:r w:rsidR="00EC49D6">
        <w:t>)</w:t>
      </w:r>
      <w:r>
        <w:t xml:space="preserve"> in relation to parental responsibility measures in line with the current position in relation to child abduction override return orders and access orders, see recital 33.  However, as in Brussels </w:t>
      </w:r>
      <w:proofErr w:type="spellStart"/>
      <w:r>
        <w:t>Ia</w:t>
      </w:r>
      <w:proofErr w:type="spellEnd"/>
      <w:r>
        <w:t xml:space="preserve"> (see </w:t>
      </w:r>
      <w:r w:rsidRPr="00AE73A7">
        <w:t xml:space="preserve">P Beaumont &amp; L Walker </w:t>
      </w:r>
      <w:r w:rsidR="009C1784">
        <w:t>‘</w:t>
      </w:r>
      <w:r w:rsidRPr="00AE73A7">
        <w:t>Recognition and enforcement of judgments in Civil and Commercial Matters in the Brussels I Recast and some lessons from it and the recent Hague Conventions for the Hague Judgments Project</w:t>
      </w:r>
      <w:r w:rsidR="009C1784">
        <w:t>’</w:t>
      </w:r>
      <w:r w:rsidRPr="00AE73A7">
        <w:t xml:space="preserve"> (2015) 11 </w:t>
      </w:r>
      <w:r w:rsidRPr="00AE73A7">
        <w:rPr>
          <w:i/>
          <w:iCs/>
        </w:rPr>
        <w:t xml:space="preserve">Journal of Private International Law </w:t>
      </w:r>
      <w:r w:rsidRPr="00AE73A7">
        <w:rPr>
          <w:iCs/>
        </w:rPr>
        <w:t>31</w:t>
      </w:r>
      <w:r>
        <w:rPr>
          <w:iCs/>
        </w:rPr>
        <w:t xml:space="preserve"> </w:t>
      </w:r>
      <w:proofErr w:type="spellStart"/>
      <w:r>
        <w:rPr>
          <w:iCs/>
        </w:rPr>
        <w:t>esp</w:t>
      </w:r>
      <w:proofErr w:type="spellEnd"/>
      <w:r>
        <w:rPr>
          <w:iCs/>
        </w:rPr>
        <w:t xml:space="preserve"> 33-35) the grounds </w:t>
      </w:r>
      <w:r w:rsidR="00EC49D6">
        <w:rPr>
          <w:iCs/>
        </w:rPr>
        <w:t>for</w:t>
      </w:r>
      <w:r>
        <w:rPr>
          <w:iCs/>
        </w:rPr>
        <w:t xml:space="preserve"> refusal </w:t>
      </w:r>
      <w:r w:rsidR="00EC49D6">
        <w:rPr>
          <w:iCs/>
        </w:rPr>
        <w:t xml:space="preserve">are moved </w:t>
      </w:r>
      <w:r>
        <w:rPr>
          <w:iCs/>
        </w:rPr>
        <w:t>to the actual enforcement stage rather than abolish</w:t>
      </w:r>
      <w:r w:rsidR="00EC49D6">
        <w:rPr>
          <w:iCs/>
        </w:rPr>
        <w:t>ed</w:t>
      </w:r>
      <w:r w:rsidRPr="00AE73A7">
        <w:t>.</w:t>
      </w:r>
    </w:p>
  </w:footnote>
  <w:footnote w:id="55">
    <w:p w14:paraId="601EBC34" w14:textId="77777777" w:rsidR="00A478E6" w:rsidRDefault="00A478E6" w:rsidP="005766C8">
      <w:pPr>
        <w:pStyle w:val="FootnoteText"/>
        <w:jc w:val="both"/>
      </w:pPr>
      <w:r>
        <w:rPr>
          <w:rStyle w:val="FootnoteReference"/>
        </w:rPr>
        <w:footnoteRef/>
      </w:r>
      <w:r>
        <w:t xml:space="preserve"> See Art 38(1) of the Commission Proposal </w:t>
      </w:r>
      <w:r w:rsidR="00DE5731">
        <w:t>n 2</w:t>
      </w:r>
      <w:r w:rsidR="00A40FC2">
        <w:t>8</w:t>
      </w:r>
      <w:r w:rsidR="00DE5731">
        <w:t xml:space="preserve"> above</w:t>
      </w:r>
      <w:r>
        <w:t>.</w:t>
      </w:r>
    </w:p>
  </w:footnote>
  <w:footnote w:id="56">
    <w:p w14:paraId="1626FC1F" w14:textId="60145DE0" w:rsidR="00A478E6" w:rsidRDefault="00A478E6" w:rsidP="005766C8">
      <w:pPr>
        <w:pStyle w:val="FootnoteText"/>
        <w:jc w:val="both"/>
      </w:pPr>
      <w:r>
        <w:rPr>
          <w:rStyle w:val="FootnoteReference"/>
        </w:rPr>
        <w:footnoteRef/>
      </w:r>
      <w:r>
        <w:t xml:space="preserve"> Ibid at Art 20 which says: </w:t>
      </w:r>
      <w:r w:rsidR="009F19B6">
        <w:t>‘</w:t>
      </w:r>
      <w:r w:rsidRPr="00BB3B34">
        <w:t>When exercising their jurisdiction under Section 2 of this Chapter, the authorities of the</w:t>
      </w:r>
      <w:r>
        <w:t xml:space="preserve"> </w:t>
      </w:r>
      <w:r w:rsidRPr="00BB3B34">
        <w:t>Member States shall ensure that a child who is capable of forming his or her own views is</w:t>
      </w:r>
      <w:r>
        <w:t xml:space="preserve"> </w:t>
      </w:r>
      <w:r w:rsidRPr="00BB3B34">
        <w:t>given the genuine and effective opportunity to express those views freely during the</w:t>
      </w:r>
      <w:r>
        <w:t xml:space="preserve"> </w:t>
      </w:r>
      <w:r w:rsidRPr="00BB3B34">
        <w:t>proceedings.</w:t>
      </w:r>
      <w:r>
        <w:t xml:space="preserve"> </w:t>
      </w:r>
      <w:r w:rsidRPr="00BB3B34">
        <w:t>The authority shall give due weight to the child's views in accordance with his or her age and</w:t>
      </w:r>
      <w:r>
        <w:t xml:space="preserve"> </w:t>
      </w:r>
      <w:r w:rsidRPr="00BB3B34">
        <w:t>maturity and document its considerations in the decision.</w:t>
      </w:r>
      <w:r w:rsidR="009F19B6">
        <w:t>’</w:t>
      </w:r>
    </w:p>
  </w:footnote>
  <w:footnote w:id="57">
    <w:p w14:paraId="70A2F3F2" w14:textId="1B7ACCEF" w:rsidR="00A478E6" w:rsidRDefault="00A478E6" w:rsidP="005766C8">
      <w:pPr>
        <w:pStyle w:val="FootnoteText"/>
        <w:jc w:val="both"/>
      </w:pPr>
      <w:r>
        <w:rPr>
          <w:rStyle w:val="FootnoteReference"/>
        </w:rPr>
        <w:footnoteRef/>
      </w:r>
      <w:r>
        <w:t xml:space="preserve"> Ibid at Art 53(5) – certifying that the child was given a </w:t>
      </w:r>
      <w:r w:rsidR="009F19B6">
        <w:t>‘</w:t>
      </w:r>
      <w:r>
        <w:t>genuine and effective</w:t>
      </w:r>
      <w:r w:rsidR="009F19B6">
        <w:t>’</w:t>
      </w:r>
      <w:r>
        <w:t xml:space="preserve"> opportunity to express his or her views in accordance with Art 20.</w:t>
      </w:r>
    </w:p>
  </w:footnote>
  <w:footnote w:id="58">
    <w:p w14:paraId="36757E14" w14:textId="77777777" w:rsidR="00A478E6" w:rsidRDefault="00A478E6" w:rsidP="005766C8">
      <w:pPr>
        <w:pStyle w:val="FootnoteText"/>
        <w:jc w:val="both"/>
      </w:pPr>
      <w:r>
        <w:rPr>
          <w:rStyle w:val="FootnoteReference"/>
        </w:rPr>
        <w:footnoteRef/>
      </w:r>
      <w:r>
        <w:t xml:space="preserve"> See text accompanying notes 2</w:t>
      </w:r>
      <w:r w:rsidR="00A40FC2">
        <w:t>4</w:t>
      </w:r>
      <w:r>
        <w:t xml:space="preserve"> and 2</w:t>
      </w:r>
      <w:r w:rsidR="00A40FC2">
        <w:t>5</w:t>
      </w:r>
      <w:r>
        <w:t xml:space="preserve"> above.</w:t>
      </w:r>
    </w:p>
  </w:footnote>
  <w:footnote w:id="59">
    <w:p w14:paraId="5472A626" w14:textId="77777777" w:rsidR="00A478E6" w:rsidRPr="006242F1" w:rsidRDefault="00A478E6" w:rsidP="005766C8">
      <w:pPr>
        <w:pStyle w:val="FootnoteText"/>
        <w:jc w:val="both"/>
        <w:rPr>
          <w:bCs/>
        </w:rPr>
      </w:pPr>
      <w:r>
        <w:rPr>
          <w:rStyle w:val="FootnoteReference"/>
        </w:rPr>
        <w:footnoteRef/>
      </w:r>
      <w:r>
        <w:t xml:space="preserve"> See</w:t>
      </w:r>
      <w:r w:rsidRPr="006242F1">
        <w:rPr>
          <w:rFonts w:ascii="Verdana" w:eastAsiaTheme="minorEastAsia" w:hAnsi="Verdana" w:cs="Verdana"/>
          <w:b/>
          <w:bCs/>
          <w:color w:val="000000"/>
          <w:sz w:val="24"/>
          <w:szCs w:val="24"/>
        </w:rPr>
        <w:t xml:space="preserve"> </w:t>
      </w:r>
      <w:r w:rsidRPr="006242F1">
        <w:rPr>
          <w:bCs/>
          <w:i/>
        </w:rPr>
        <w:t>In re D (A Child) (Recognition of Foreign Order) (Reunite Child Abduction Centre intervening)</w:t>
      </w:r>
    </w:p>
    <w:p w14:paraId="4D5CD453" w14:textId="77777777" w:rsidR="00A478E6" w:rsidRPr="0076194B" w:rsidRDefault="00A478E6" w:rsidP="005766C8">
      <w:pPr>
        <w:pStyle w:val="FootnoteText"/>
        <w:jc w:val="both"/>
        <w:rPr>
          <w:lang w:val="pl-PL"/>
        </w:rPr>
      </w:pPr>
      <w:r w:rsidRPr="006242F1">
        <w:rPr>
          <w:bCs/>
        </w:rPr>
        <w:t xml:space="preserve"> </w:t>
      </w:r>
      <w:r w:rsidRPr="0076194B">
        <w:rPr>
          <w:bCs/>
          <w:lang w:val="pl-PL"/>
        </w:rPr>
        <w:t>[2016] EWCA Civ 12; [2016] 1 WLR 2469.</w:t>
      </w:r>
      <w:r w:rsidRPr="0076194B">
        <w:rPr>
          <w:lang w:val="pl-PL"/>
        </w:rPr>
        <w:t xml:space="preserve"> </w:t>
      </w:r>
    </w:p>
  </w:footnote>
  <w:footnote w:id="60">
    <w:p w14:paraId="7D4A49CB" w14:textId="6E30EE81" w:rsidR="00A478E6" w:rsidRDefault="00A478E6" w:rsidP="005766C8">
      <w:pPr>
        <w:pStyle w:val="FootnoteText"/>
        <w:jc w:val="both"/>
      </w:pPr>
      <w:r>
        <w:rPr>
          <w:rStyle w:val="FootnoteReference"/>
        </w:rPr>
        <w:footnoteRef/>
      </w:r>
      <w:r>
        <w:t xml:space="preserve"> Ibid at [108].  See also Ryder </w:t>
      </w:r>
      <w:r w:rsidR="00B67026">
        <w:t xml:space="preserve">LJ </w:t>
      </w:r>
      <w:r>
        <w:t xml:space="preserve">at [44] who said: </w:t>
      </w:r>
      <w:r w:rsidR="009F19B6">
        <w:t>‘</w:t>
      </w:r>
      <w:r w:rsidRPr="006242F1">
        <w:t xml:space="preserve">the rule of law in England and Wales includes the right of the child to participate in the process that is about him or her. That is the fundamental principle that is reflected in our legislation, our rules and practice directions and our jurisprudence. At </w:t>
      </w:r>
      <w:proofErr w:type="gramStart"/>
      <w:r w:rsidRPr="006242F1">
        <w:t>its</w:t>
      </w:r>
      <w:proofErr w:type="gramEnd"/>
      <w:r w:rsidRPr="006242F1">
        <w:t xml:space="preserve"> most basic level it involves asking at an early stage in family proceedings whether and how that child is going to be given the opportunity to be heard.</w:t>
      </w:r>
      <w:r w:rsidR="009F19B6">
        <w:t>’</w:t>
      </w:r>
    </w:p>
  </w:footnote>
  <w:footnote w:id="61">
    <w:p w14:paraId="25FDE231" w14:textId="77777777" w:rsidR="00A478E6" w:rsidRDefault="00A478E6" w:rsidP="005766C8">
      <w:pPr>
        <w:pStyle w:val="FootnoteText"/>
        <w:jc w:val="both"/>
      </w:pPr>
      <w:r>
        <w:rPr>
          <w:rStyle w:val="FootnoteReference"/>
        </w:rPr>
        <w:footnoteRef/>
      </w:r>
      <w:r>
        <w:t xml:space="preserve"> The UK has opted in to the negotiations on the Brussels </w:t>
      </w:r>
      <w:proofErr w:type="spellStart"/>
      <w:r>
        <w:t>IIa</w:t>
      </w:r>
      <w:proofErr w:type="spellEnd"/>
      <w:r>
        <w:t xml:space="preserve"> Recast but that does not give it a veto over any changes to the Recast even while the UK is still a member of the EU, see Art 3(2) of the Protocol on the Position of the UK and Ireland in respect of the area of freedom, security and justice [2008] OJ C115/295.</w:t>
      </w:r>
    </w:p>
  </w:footnote>
  <w:footnote w:id="62">
    <w:p w14:paraId="17DB2594" w14:textId="77777777" w:rsidR="00A478E6" w:rsidRDefault="00A478E6" w:rsidP="005766C8">
      <w:pPr>
        <w:pStyle w:val="FootnoteText"/>
        <w:jc w:val="both"/>
      </w:pPr>
      <w:r>
        <w:rPr>
          <w:rStyle w:val="FootnoteReference"/>
        </w:rPr>
        <w:footnoteRef/>
      </w:r>
      <w:r>
        <w:t xml:space="preserve"> See </w:t>
      </w:r>
      <w:proofErr w:type="spellStart"/>
      <w:r>
        <w:t>eg</w:t>
      </w:r>
      <w:proofErr w:type="spellEnd"/>
      <w:r>
        <w:t xml:space="preserve"> </w:t>
      </w:r>
      <w:r w:rsidRPr="00B70743">
        <w:rPr>
          <w:i/>
        </w:rPr>
        <w:t>Re S (Brussels II (Revised): Enforcement of Contact Order)</w:t>
      </w:r>
      <w:r>
        <w:t xml:space="preserve"> [2008] 2 FLR 1358.</w:t>
      </w:r>
    </w:p>
  </w:footnote>
  <w:footnote w:id="63">
    <w:p w14:paraId="4D3D65F2" w14:textId="77777777" w:rsidR="00A478E6" w:rsidRDefault="00A478E6" w:rsidP="005766C8">
      <w:pPr>
        <w:pStyle w:val="FootnoteText"/>
        <w:jc w:val="both"/>
      </w:pPr>
      <w:r>
        <w:rPr>
          <w:rStyle w:val="FootnoteReference"/>
        </w:rPr>
        <w:footnoteRef/>
      </w:r>
      <w:r>
        <w:t xml:space="preserve"> App no 46600/11 judgment of the Second Section of 13 January 2015.</w:t>
      </w:r>
    </w:p>
  </w:footnote>
  <w:footnote w:id="64">
    <w:p w14:paraId="477CE42F" w14:textId="77777777" w:rsidR="00A478E6" w:rsidRDefault="00A478E6" w:rsidP="005766C8">
      <w:pPr>
        <w:pStyle w:val="FootnoteText"/>
        <w:jc w:val="both"/>
      </w:pPr>
      <w:r>
        <w:rPr>
          <w:rStyle w:val="FootnoteReference"/>
        </w:rPr>
        <w:footnoteRef/>
      </w:r>
      <w:r>
        <w:t xml:space="preserve"> Art 9 of Brussels </w:t>
      </w:r>
      <w:proofErr w:type="spellStart"/>
      <w:r>
        <w:t>IIa</w:t>
      </w:r>
      <w:proofErr w:type="spellEnd"/>
      <w:r>
        <w:t>.</w:t>
      </w:r>
    </w:p>
  </w:footnote>
  <w:footnote w:id="65">
    <w:p w14:paraId="1D4AAECD" w14:textId="77777777" w:rsidR="00A478E6" w:rsidRDefault="00A478E6" w:rsidP="005766C8">
      <w:pPr>
        <w:pStyle w:val="FootnoteText"/>
        <w:jc w:val="both"/>
      </w:pPr>
      <w:r>
        <w:rPr>
          <w:rStyle w:val="FootnoteReference"/>
        </w:rPr>
        <w:footnoteRef/>
      </w:r>
      <w:r>
        <w:t xml:space="preserve"> See the judgment of the Second Section of the ECtHR at paras 9-12. It is not clear from that judgment that the refusal to return the child by the Vilnius Regional Court was based on Art 13(1)(b) but this is clear from the judgment of Charles J in </w:t>
      </w:r>
      <w:r w:rsidRPr="005C20A4">
        <w:rPr>
          <w:i/>
        </w:rPr>
        <w:t>M v T (Abduction: Brussels II Revised, Art 11(7))</w:t>
      </w:r>
      <w:r>
        <w:t xml:space="preserve"> [2010] EWHC 1479 (Fam) at [9] and [41]-[43]. </w:t>
      </w:r>
    </w:p>
  </w:footnote>
  <w:footnote w:id="66">
    <w:p w14:paraId="5520AC23" w14:textId="77777777" w:rsidR="00A478E6" w:rsidRDefault="00A478E6" w:rsidP="005766C8">
      <w:pPr>
        <w:pStyle w:val="FootnoteText"/>
        <w:jc w:val="both"/>
      </w:pPr>
      <w:r>
        <w:rPr>
          <w:rStyle w:val="FootnoteReference"/>
        </w:rPr>
        <w:footnoteRef/>
      </w:r>
      <w:r>
        <w:t xml:space="preserve"> See </w:t>
      </w:r>
      <w:r w:rsidRPr="005966E1">
        <w:rPr>
          <w:i/>
        </w:rPr>
        <w:t>M v T (Abduction: Brussels II Revised, Art 11(7))</w:t>
      </w:r>
      <w:r>
        <w:t xml:space="preserve"> [2010] EWHC 1479 (</w:t>
      </w:r>
      <w:proofErr w:type="gramStart"/>
      <w:r>
        <w:t>Fam</w:t>
      </w:r>
      <w:proofErr w:type="gramEnd"/>
      <w:r>
        <w:t>).</w:t>
      </w:r>
    </w:p>
  </w:footnote>
  <w:footnote w:id="67">
    <w:p w14:paraId="6178A75C" w14:textId="77777777" w:rsidR="00A478E6" w:rsidRDefault="00A478E6" w:rsidP="005766C8">
      <w:pPr>
        <w:pStyle w:val="FootnoteText"/>
        <w:jc w:val="both"/>
      </w:pPr>
      <w:r>
        <w:rPr>
          <w:rStyle w:val="FootnoteReference"/>
        </w:rPr>
        <w:footnoteRef/>
      </w:r>
      <w:r>
        <w:t xml:space="preserve"> Ibid at [14].</w:t>
      </w:r>
    </w:p>
  </w:footnote>
  <w:footnote w:id="68">
    <w:p w14:paraId="6CB95CCB" w14:textId="77777777" w:rsidR="00A478E6" w:rsidRDefault="00A478E6" w:rsidP="005766C8">
      <w:pPr>
        <w:pStyle w:val="FootnoteText"/>
        <w:jc w:val="both"/>
      </w:pPr>
      <w:r>
        <w:rPr>
          <w:rStyle w:val="FootnoteReference"/>
        </w:rPr>
        <w:footnoteRef/>
      </w:r>
      <w:r>
        <w:t xml:space="preserve"> Ibid at [15].</w:t>
      </w:r>
    </w:p>
  </w:footnote>
  <w:footnote w:id="69">
    <w:p w14:paraId="1E29D8ED" w14:textId="77777777" w:rsidR="00A478E6" w:rsidRDefault="00A478E6" w:rsidP="005766C8">
      <w:pPr>
        <w:pStyle w:val="FootnoteText"/>
        <w:jc w:val="both"/>
      </w:pPr>
      <w:r>
        <w:rPr>
          <w:rStyle w:val="FootnoteReference"/>
        </w:rPr>
        <w:footnoteRef/>
      </w:r>
      <w:r>
        <w:t xml:space="preserve"> Ibid at [22.</w:t>
      </w:r>
    </w:p>
  </w:footnote>
  <w:footnote w:id="70">
    <w:p w14:paraId="4673B545" w14:textId="77777777" w:rsidR="00A478E6" w:rsidRDefault="00A478E6" w:rsidP="005766C8">
      <w:pPr>
        <w:pStyle w:val="FootnoteText"/>
        <w:jc w:val="both"/>
      </w:pPr>
      <w:r>
        <w:rPr>
          <w:rStyle w:val="FootnoteReference"/>
        </w:rPr>
        <w:footnoteRef/>
      </w:r>
      <w:r>
        <w:t xml:space="preserve"> Ibid at [84] and [100].</w:t>
      </w:r>
    </w:p>
  </w:footnote>
  <w:footnote w:id="71">
    <w:p w14:paraId="5FFDE23E" w14:textId="77777777" w:rsidR="00A478E6" w:rsidRDefault="00A478E6" w:rsidP="005766C8">
      <w:pPr>
        <w:pStyle w:val="FootnoteText"/>
        <w:jc w:val="both"/>
      </w:pPr>
      <w:r>
        <w:rPr>
          <w:rStyle w:val="FootnoteReference"/>
        </w:rPr>
        <w:footnoteRef/>
      </w:r>
      <w:r>
        <w:t xml:space="preserve"> Ibid at the question and answer session recorded at the end of the judgment. </w:t>
      </w:r>
    </w:p>
  </w:footnote>
  <w:footnote w:id="72">
    <w:p w14:paraId="29DD5DFC" w14:textId="0F089EA0" w:rsidR="00A478E6" w:rsidRDefault="00A478E6" w:rsidP="005766C8">
      <w:pPr>
        <w:pStyle w:val="FootnoteText"/>
        <w:jc w:val="both"/>
      </w:pPr>
      <w:r>
        <w:rPr>
          <w:rStyle w:val="FootnoteReference"/>
        </w:rPr>
        <w:footnoteRef/>
      </w:r>
      <w:r>
        <w:t xml:space="preserve"> Ibid at [96]-[101]. The judge did leave room to change the arrangements at the end of the 6</w:t>
      </w:r>
      <w:r w:rsidR="00A2033D">
        <w:t>-</w:t>
      </w:r>
      <w:r>
        <w:t xml:space="preserve">week contact period in England but there would need to be a </w:t>
      </w:r>
      <w:r w:rsidR="009F19B6">
        <w:t>‘</w:t>
      </w:r>
      <w:r>
        <w:t>very significant change</w:t>
      </w:r>
      <w:r w:rsidR="009F19B6">
        <w:t>’</w:t>
      </w:r>
      <w:r>
        <w:t xml:space="preserve"> of circumstances before he would not allow the mother to permanently relocate with the child to Lithuania at that point [101]. Charles J did not issue an Art 42 Brussels </w:t>
      </w:r>
      <w:proofErr w:type="spellStart"/>
      <w:r>
        <w:t>IIa</w:t>
      </w:r>
      <w:proofErr w:type="spellEnd"/>
      <w:r>
        <w:t xml:space="preserve"> certificate for the return of the child for the contact visit, see</w:t>
      </w:r>
      <w:r w:rsidRPr="00715191">
        <w:t xml:space="preserve"> Beaumont et al, n 1</w:t>
      </w:r>
      <w:r w:rsidR="00A40FC2">
        <w:t>4</w:t>
      </w:r>
      <w:r w:rsidRPr="00715191">
        <w:t xml:space="preserve"> </w:t>
      </w:r>
      <w:r w:rsidR="00D91DCC">
        <w:t xml:space="preserve">above </w:t>
      </w:r>
      <w:r w:rsidR="00A40FC2">
        <w:t xml:space="preserve">(2016) </w:t>
      </w:r>
      <w:r w:rsidR="00F3151F" w:rsidRPr="00F3151F">
        <w:rPr>
          <w:i/>
        </w:rPr>
        <w:t>JPIL</w:t>
      </w:r>
      <w:r w:rsidR="00F3151F">
        <w:t xml:space="preserve"> </w:t>
      </w:r>
      <w:r w:rsidR="00A40FC2">
        <w:t xml:space="preserve">211 </w:t>
      </w:r>
      <w:r w:rsidRPr="00715191">
        <w:t>at</w:t>
      </w:r>
      <w:r>
        <w:t xml:space="preserve"> 226, n</w:t>
      </w:r>
      <w:r w:rsidR="00D91DCC">
        <w:t xml:space="preserve"> </w:t>
      </w:r>
      <w:r>
        <w:t>67.</w:t>
      </w:r>
    </w:p>
  </w:footnote>
  <w:footnote w:id="73">
    <w:p w14:paraId="2C6B50E2" w14:textId="77777777" w:rsidR="00A478E6" w:rsidRDefault="00A478E6" w:rsidP="005766C8">
      <w:pPr>
        <w:pStyle w:val="FootnoteText"/>
        <w:jc w:val="both"/>
      </w:pPr>
      <w:r>
        <w:rPr>
          <w:rStyle w:val="FootnoteReference"/>
        </w:rPr>
        <w:footnoteRef/>
      </w:r>
      <w:r>
        <w:t xml:space="preserve"> </w:t>
      </w:r>
      <w:r w:rsidRPr="00810400">
        <w:t>Ibid</w:t>
      </w:r>
      <w:r w:rsidR="00A40FC2">
        <w:t>, Charles J in</w:t>
      </w:r>
      <w:r w:rsidRPr="00810400">
        <w:t xml:space="preserve"> the question and answer session recorded at the end of the judgment.</w:t>
      </w:r>
    </w:p>
  </w:footnote>
  <w:footnote w:id="74">
    <w:p w14:paraId="2C0ABAC1" w14:textId="77777777" w:rsidR="00A478E6" w:rsidRDefault="00A478E6" w:rsidP="005766C8">
      <w:pPr>
        <w:pStyle w:val="FootnoteText"/>
        <w:jc w:val="both"/>
      </w:pPr>
      <w:r>
        <w:rPr>
          <w:rStyle w:val="FootnoteReference"/>
        </w:rPr>
        <w:footnoteRef/>
      </w:r>
      <w:r>
        <w:t xml:space="preserve"> </w:t>
      </w:r>
      <w:r w:rsidRPr="00715191">
        <w:t>App no 46600/11 judgment of the Se</w:t>
      </w:r>
      <w:r>
        <w:t xml:space="preserve">cond Section of 13 January 2015 at paras 21-23. </w:t>
      </w:r>
    </w:p>
  </w:footnote>
  <w:footnote w:id="75">
    <w:p w14:paraId="32AB50FC" w14:textId="77777777" w:rsidR="00A478E6" w:rsidRDefault="00A478E6" w:rsidP="005766C8">
      <w:pPr>
        <w:pStyle w:val="FootnoteText"/>
        <w:jc w:val="both"/>
      </w:pPr>
      <w:r>
        <w:rPr>
          <w:rStyle w:val="FootnoteReference"/>
        </w:rPr>
        <w:footnoteRef/>
      </w:r>
      <w:r>
        <w:t xml:space="preserve"> Ibid at para 30.  She also repaid the £600 for that visit.</w:t>
      </w:r>
    </w:p>
  </w:footnote>
  <w:footnote w:id="76">
    <w:p w14:paraId="714EA956" w14:textId="77777777" w:rsidR="00A478E6" w:rsidRDefault="00A478E6" w:rsidP="005766C8">
      <w:pPr>
        <w:pStyle w:val="FootnoteText"/>
        <w:jc w:val="both"/>
      </w:pPr>
      <w:r>
        <w:rPr>
          <w:rStyle w:val="FootnoteReference"/>
        </w:rPr>
        <w:footnoteRef/>
      </w:r>
      <w:r>
        <w:t xml:space="preserve"> See ibid at paras 31-33.</w:t>
      </w:r>
    </w:p>
  </w:footnote>
  <w:footnote w:id="77">
    <w:p w14:paraId="71C3479E" w14:textId="77777777" w:rsidR="00A478E6" w:rsidRDefault="00A478E6" w:rsidP="005766C8">
      <w:pPr>
        <w:pStyle w:val="FootnoteText"/>
        <w:jc w:val="both"/>
      </w:pPr>
      <w:r>
        <w:rPr>
          <w:rStyle w:val="FootnoteReference"/>
        </w:rPr>
        <w:footnoteRef/>
      </w:r>
      <w:r>
        <w:t xml:space="preserve"> Ibid at para 34. </w:t>
      </w:r>
    </w:p>
  </w:footnote>
  <w:footnote w:id="78">
    <w:p w14:paraId="6B9F7082" w14:textId="77777777" w:rsidR="00A478E6" w:rsidRDefault="00A478E6" w:rsidP="005766C8">
      <w:pPr>
        <w:pStyle w:val="FootnoteText"/>
        <w:jc w:val="both"/>
      </w:pPr>
      <w:r>
        <w:rPr>
          <w:rStyle w:val="FootnoteReference"/>
        </w:rPr>
        <w:footnoteRef/>
      </w:r>
      <w:r>
        <w:t xml:space="preserve"> Ibid at 37.</w:t>
      </w:r>
    </w:p>
  </w:footnote>
  <w:footnote w:id="79">
    <w:p w14:paraId="5EAC0BA8" w14:textId="77777777" w:rsidR="00A478E6" w:rsidRDefault="00A478E6" w:rsidP="005766C8">
      <w:pPr>
        <w:pStyle w:val="FootnoteText"/>
        <w:jc w:val="both"/>
      </w:pPr>
      <w:r>
        <w:rPr>
          <w:rStyle w:val="FootnoteReference"/>
        </w:rPr>
        <w:footnoteRef/>
      </w:r>
      <w:r>
        <w:t xml:space="preserve"> Ibid at paras 40 and 45-49.</w:t>
      </w:r>
    </w:p>
  </w:footnote>
  <w:footnote w:id="80">
    <w:p w14:paraId="0948238C" w14:textId="77777777" w:rsidR="00A478E6" w:rsidRDefault="00A478E6" w:rsidP="005766C8">
      <w:pPr>
        <w:pStyle w:val="FootnoteText"/>
        <w:jc w:val="both"/>
      </w:pPr>
      <w:r>
        <w:rPr>
          <w:rStyle w:val="FootnoteReference"/>
        </w:rPr>
        <w:footnoteRef/>
      </w:r>
      <w:r>
        <w:t xml:space="preserve"> Ibid at paras 56-58.</w:t>
      </w:r>
    </w:p>
  </w:footnote>
  <w:footnote w:id="81">
    <w:p w14:paraId="2F885A79" w14:textId="77777777" w:rsidR="00A478E6" w:rsidRDefault="00A478E6" w:rsidP="005766C8">
      <w:pPr>
        <w:pStyle w:val="FootnoteText"/>
        <w:jc w:val="both"/>
      </w:pPr>
      <w:r>
        <w:rPr>
          <w:rStyle w:val="FootnoteReference"/>
        </w:rPr>
        <w:footnoteRef/>
      </w:r>
      <w:r>
        <w:t xml:space="preserve"> Ibid at paras 63-65.</w:t>
      </w:r>
    </w:p>
  </w:footnote>
  <w:footnote w:id="82">
    <w:p w14:paraId="1D0398AB" w14:textId="77777777" w:rsidR="00A478E6" w:rsidRDefault="00A478E6" w:rsidP="005766C8">
      <w:pPr>
        <w:pStyle w:val="FootnoteText"/>
        <w:jc w:val="both"/>
      </w:pPr>
      <w:r>
        <w:rPr>
          <w:rStyle w:val="FootnoteReference"/>
        </w:rPr>
        <w:footnoteRef/>
      </w:r>
      <w:r>
        <w:t xml:space="preserve"> Ibid at para 107.</w:t>
      </w:r>
    </w:p>
  </w:footnote>
  <w:footnote w:id="83">
    <w:p w14:paraId="2E04A141" w14:textId="77777777" w:rsidR="00A478E6" w:rsidRDefault="00A478E6" w:rsidP="005766C8">
      <w:pPr>
        <w:pStyle w:val="FootnoteText"/>
        <w:jc w:val="both"/>
      </w:pPr>
      <w:r>
        <w:rPr>
          <w:rStyle w:val="FootnoteReference"/>
        </w:rPr>
        <w:footnoteRef/>
      </w:r>
      <w:r>
        <w:t xml:space="preserve"> See dissenting opinion of Judges </w:t>
      </w:r>
      <w:proofErr w:type="spellStart"/>
      <w:r>
        <w:t>Spano</w:t>
      </w:r>
      <w:proofErr w:type="spellEnd"/>
      <w:r>
        <w:t xml:space="preserve"> and </w:t>
      </w:r>
      <w:proofErr w:type="spellStart"/>
      <w:r>
        <w:t>Kjolbro</w:t>
      </w:r>
      <w:proofErr w:type="spellEnd"/>
      <w:r>
        <w:t>.</w:t>
      </w:r>
    </w:p>
  </w:footnote>
  <w:footnote w:id="84">
    <w:p w14:paraId="02AAF8E2" w14:textId="77777777" w:rsidR="00A478E6" w:rsidRDefault="00A478E6" w:rsidP="005766C8">
      <w:pPr>
        <w:pStyle w:val="FootnoteText"/>
        <w:jc w:val="both"/>
      </w:pPr>
      <w:r>
        <w:rPr>
          <w:rStyle w:val="FootnoteReference"/>
        </w:rPr>
        <w:footnoteRef/>
      </w:r>
      <w:r>
        <w:t xml:space="preserve"> For doubts about the automatic enforcement of access judgments under Brussels </w:t>
      </w:r>
      <w:proofErr w:type="spellStart"/>
      <w:r>
        <w:t>IIa</w:t>
      </w:r>
      <w:proofErr w:type="spellEnd"/>
      <w:r>
        <w:t xml:space="preserve"> see Kruger and </w:t>
      </w:r>
      <w:proofErr w:type="spellStart"/>
      <w:r>
        <w:t>Samyn</w:t>
      </w:r>
      <w:proofErr w:type="spellEnd"/>
      <w:r>
        <w:t xml:space="preserve">, </w:t>
      </w:r>
      <w:r w:rsidR="00C55A9E">
        <w:t>above</w:t>
      </w:r>
      <w:r>
        <w:t xml:space="preserve"> n 2</w:t>
      </w:r>
      <w:r w:rsidR="00A40FC2">
        <w:t>7</w:t>
      </w:r>
      <w:r>
        <w:t xml:space="preserve"> at 160.</w:t>
      </w:r>
    </w:p>
  </w:footnote>
  <w:footnote w:id="85">
    <w:p w14:paraId="741AA767" w14:textId="77777777" w:rsidR="00A478E6" w:rsidRDefault="00A478E6" w:rsidP="005766C8">
      <w:pPr>
        <w:pStyle w:val="FootnoteText"/>
        <w:jc w:val="both"/>
      </w:pPr>
      <w:r>
        <w:rPr>
          <w:rStyle w:val="FootnoteReference"/>
        </w:rPr>
        <w:footnoteRef/>
      </w:r>
      <w:r>
        <w:t xml:space="preserve"> </w:t>
      </w:r>
      <w:proofErr w:type="gramStart"/>
      <w:r>
        <w:t>COM(</w:t>
      </w:r>
      <w:proofErr w:type="gramEnd"/>
      <w:r>
        <w:t>2016) 411 final, Art 40.</w:t>
      </w:r>
    </w:p>
  </w:footnote>
  <w:footnote w:id="86">
    <w:p w14:paraId="3D950831" w14:textId="436B45C2" w:rsidR="00A478E6" w:rsidRDefault="00A478E6" w:rsidP="005766C8">
      <w:pPr>
        <w:pStyle w:val="FootnoteText"/>
        <w:jc w:val="both"/>
      </w:pPr>
      <w:r>
        <w:rPr>
          <w:rStyle w:val="FootnoteReference"/>
        </w:rPr>
        <w:footnoteRef/>
      </w:r>
      <w:r>
        <w:t xml:space="preserve"> See the discussion on recognition and enforcement of parental responsibility measures above for an idea of </w:t>
      </w:r>
      <w:proofErr w:type="gramStart"/>
      <w:r>
        <w:t>the</w:t>
      </w:r>
      <w:proofErr w:type="gramEnd"/>
      <w:r>
        <w:t xml:space="preserve"> Hague 1996 system.  See in more depth </w:t>
      </w:r>
      <w:r w:rsidRPr="00616068">
        <w:rPr>
          <w:i/>
        </w:rPr>
        <w:t>The Practical Handbook</w:t>
      </w:r>
      <w:r w:rsidR="00DF4D5F">
        <w:t xml:space="preserve"> n 36 above</w:t>
      </w:r>
      <w:r>
        <w:t>.</w:t>
      </w:r>
    </w:p>
  </w:footnote>
  <w:footnote w:id="87">
    <w:p w14:paraId="19680E41" w14:textId="77777777" w:rsidR="00A478E6" w:rsidRDefault="00A478E6" w:rsidP="005766C8">
      <w:pPr>
        <w:pStyle w:val="FootnoteText"/>
        <w:jc w:val="both"/>
      </w:pPr>
      <w:r>
        <w:rPr>
          <w:rStyle w:val="FootnoteReference"/>
        </w:rPr>
        <w:footnoteRef/>
      </w:r>
      <w:r>
        <w:t xml:space="preserve"> See M </w:t>
      </w:r>
      <w:proofErr w:type="spellStart"/>
      <w:r>
        <w:t>Danov</w:t>
      </w:r>
      <w:proofErr w:type="spellEnd"/>
      <w:r>
        <w:t>, ‘Data analysis: Important issues to be considered in a cross-border context’ in Beaumont</w:t>
      </w:r>
      <w:r w:rsidR="008854F8">
        <w:t xml:space="preserve"> et al n 1</w:t>
      </w:r>
      <w:r w:rsidR="00E17741">
        <w:t>9</w:t>
      </w:r>
      <w:r w:rsidR="008854F8">
        <w:t xml:space="preserve"> above</w:t>
      </w:r>
      <w:r>
        <w:t xml:space="preserve"> in </w:t>
      </w:r>
      <w:r w:rsidRPr="00083780">
        <w:t>chapter 32</w:t>
      </w:r>
      <w:r>
        <w:t xml:space="preserve"> (n</w:t>
      </w:r>
      <w:r w:rsidR="008854F8">
        <w:t xml:space="preserve"> </w:t>
      </w:r>
      <w:r>
        <w:t xml:space="preserve">64). </w:t>
      </w:r>
    </w:p>
  </w:footnote>
  <w:footnote w:id="88">
    <w:p w14:paraId="47F78DE8" w14:textId="77777777" w:rsidR="00A478E6" w:rsidRDefault="00A478E6" w:rsidP="005766C8">
      <w:pPr>
        <w:pStyle w:val="FootnoteText"/>
        <w:jc w:val="both"/>
      </w:pPr>
      <w:r>
        <w:rPr>
          <w:rStyle w:val="FootnoteReference"/>
        </w:rPr>
        <w:footnoteRef/>
      </w:r>
      <w:r>
        <w:t xml:space="preserve"> See</w:t>
      </w:r>
      <w:r w:rsidR="00A94B29">
        <w:t xml:space="preserve"> P Beaumont</w:t>
      </w:r>
      <w:r>
        <w:t xml:space="preserve"> </w:t>
      </w:r>
      <w:r w:rsidR="00887CEE">
        <w:t>‘</w:t>
      </w:r>
      <w:r w:rsidRPr="00712387">
        <w:t>International Family Law in Europe – The Maintenance Project, the Hague Conference and the EC: A Triumph of Reverse Subsidiarity</w:t>
      </w:r>
      <w:r w:rsidR="00887CEE">
        <w:t>’</w:t>
      </w:r>
      <w:r w:rsidRPr="00712387">
        <w:t xml:space="preserve"> (2009) 73 </w:t>
      </w:r>
      <w:proofErr w:type="spellStart"/>
      <w:r w:rsidRPr="00712387">
        <w:rPr>
          <w:i/>
        </w:rPr>
        <w:t>Rabels</w:t>
      </w:r>
      <w:proofErr w:type="spellEnd"/>
      <w:r w:rsidRPr="00712387">
        <w:rPr>
          <w:i/>
        </w:rPr>
        <w:t xml:space="preserve"> </w:t>
      </w:r>
      <w:proofErr w:type="spellStart"/>
      <w:r w:rsidRPr="00712387">
        <w:rPr>
          <w:i/>
        </w:rPr>
        <w:t>Zeitschrift</w:t>
      </w:r>
      <w:proofErr w:type="spellEnd"/>
      <w:r w:rsidRPr="00712387">
        <w:rPr>
          <w:i/>
        </w:rPr>
        <w:t xml:space="preserve"> </w:t>
      </w:r>
      <w:proofErr w:type="spellStart"/>
      <w:r w:rsidRPr="00712387">
        <w:rPr>
          <w:i/>
        </w:rPr>
        <w:t>für</w:t>
      </w:r>
      <w:proofErr w:type="spellEnd"/>
      <w:r w:rsidRPr="00712387">
        <w:rPr>
          <w:i/>
        </w:rPr>
        <w:t xml:space="preserve"> </w:t>
      </w:r>
      <w:proofErr w:type="spellStart"/>
      <w:r w:rsidRPr="00712387">
        <w:rPr>
          <w:i/>
        </w:rPr>
        <w:t>ausländisches</w:t>
      </w:r>
      <w:proofErr w:type="spellEnd"/>
      <w:r w:rsidRPr="00712387">
        <w:rPr>
          <w:i/>
        </w:rPr>
        <w:t xml:space="preserve"> und </w:t>
      </w:r>
      <w:proofErr w:type="spellStart"/>
      <w:proofErr w:type="gramStart"/>
      <w:r w:rsidRPr="00712387">
        <w:rPr>
          <w:i/>
        </w:rPr>
        <w:t>internationales</w:t>
      </w:r>
      <w:proofErr w:type="spellEnd"/>
      <w:proofErr w:type="gramEnd"/>
      <w:r w:rsidRPr="00712387">
        <w:rPr>
          <w:i/>
        </w:rPr>
        <w:t xml:space="preserve"> </w:t>
      </w:r>
      <w:proofErr w:type="spellStart"/>
      <w:r w:rsidRPr="00712387">
        <w:rPr>
          <w:i/>
        </w:rPr>
        <w:t>Privatrecht</w:t>
      </w:r>
      <w:proofErr w:type="spellEnd"/>
      <w:r w:rsidRPr="00712387">
        <w:rPr>
          <w:i/>
        </w:rPr>
        <w:t xml:space="preserve"> </w:t>
      </w:r>
      <w:r w:rsidRPr="00712387">
        <w:t>509.</w:t>
      </w:r>
    </w:p>
  </w:footnote>
  <w:footnote w:id="89">
    <w:p w14:paraId="7F0BE341" w14:textId="77777777" w:rsidR="00A478E6" w:rsidRDefault="00A478E6" w:rsidP="005766C8">
      <w:pPr>
        <w:pStyle w:val="FootnoteText"/>
        <w:jc w:val="both"/>
      </w:pPr>
      <w:r>
        <w:rPr>
          <w:rStyle w:val="FootnoteReference"/>
        </w:rPr>
        <w:footnoteRef/>
      </w:r>
      <w:r>
        <w:t xml:space="preserve"> See</w:t>
      </w:r>
      <w:r w:rsidRPr="000020E5">
        <w:rPr>
          <w:sz w:val="22"/>
          <w:szCs w:val="22"/>
        </w:rPr>
        <w:t xml:space="preserve"> </w:t>
      </w:r>
      <w:r w:rsidRPr="000020E5">
        <w:t>P Beaumont, B Hess, L Walker</w:t>
      </w:r>
      <w:r w:rsidR="00031508">
        <w:t xml:space="preserve"> and S </w:t>
      </w:r>
      <w:proofErr w:type="spellStart"/>
      <w:r w:rsidR="00031508">
        <w:t>Spancken</w:t>
      </w:r>
      <w:proofErr w:type="spellEnd"/>
      <w:r w:rsidRPr="000020E5">
        <w:t xml:space="preserve"> (</w:t>
      </w:r>
      <w:proofErr w:type="spellStart"/>
      <w:r w:rsidRPr="000020E5">
        <w:t>eds</w:t>
      </w:r>
      <w:proofErr w:type="spellEnd"/>
      <w:r w:rsidRPr="000020E5">
        <w:t>)</w:t>
      </w:r>
      <w:r>
        <w:t xml:space="preserve"> </w:t>
      </w:r>
      <w:r w:rsidRPr="000020E5">
        <w:rPr>
          <w:i/>
        </w:rPr>
        <w:t>Recovery of Maintenance in the EU and Worldwide</w:t>
      </w:r>
      <w:r>
        <w:t xml:space="preserve"> (Hart, 2014); L Walker, </w:t>
      </w:r>
      <w:r w:rsidRPr="000020E5">
        <w:rPr>
          <w:i/>
        </w:rPr>
        <w:t>Maintenance and Child Support in Private International Law</w:t>
      </w:r>
      <w:r>
        <w:t xml:space="preserve"> (Hart, 2015); and the review of the two books by </w:t>
      </w:r>
      <w:r w:rsidRPr="000020E5">
        <w:t>D McClean</w:t>
      </w:r>
      <w:r>
        <w:t>,  ‘</w:t>
      </w:r>
      <w:r w:rsidRPr="000020E5">
        <w:t>Maintenance surveyed</w:t>
      </w:r>
      <w:r>
        <w:t xml:space="preserve">’ (2017) 13 </w:t>
      </w:r>
      <w:r w:rsidRPr="000020E5">
        <w:rPr>
          <w:i/>
        </w:rPr>
        <w:t>Journal of Private International Law</w:t>
      </w:r>
      <w:r>
        <w:t xml:space="preserve"> 219.</w:t>
      </w:r>
    </w:p>
  </w:footnote>
  <w:footnote w:id="90">
    <w:p w14:paraId="061A3CFD" w14:textId="77777777" w:rsidR="00A478E6" w:rsidRDefault="00A478E6" w:rsidP="005766C8">
      <w:pPr>
        <w:pStyle w:val="FootnoteText"/>
        <w:jc w:val="both"/>
      </w:pPr>
      <w:r>
        <w:rPr>
          <w:rStyle w:val="FootnoteReference"/>
        </w:rPr>
        <w:footnoteRef/>
      </w:r>
      <w:r>
        <w:t xml:space="preserve"> See Beaumont n </w:t>
      </w:r>
      <w:r w:rsidR="00093562">
        <w:t>8</w:t>
      </w:r>
      <w:r w:rsidR="00E17741">
        <w:t>8</w:t>
      </w:r>
      <w:r w:rsidR="0050780D">
        <w:t xml:space="preserve"> above</w:t>
      </w:r>
      <w:r w:rsidR="00E17741">
        <w:t xml:space="preserve"> at 532-536</w:t>
      </w:r>
      <w:r>
        <w:t>.</w:t>
      </w:r>
    </w:p>
  </w:footnote>
  <w:footnote w:id="91">
    <w:p w14:paraId="37A25980" w14:textId="77777777" w:rsidR="00B67026" w:rsidRDefault="00B67026" w:rsidP="005766C8">
      <w:pPr>
        <w:pStyle w:val="FootnoteText"/>
        <w:jc w:val="both"/>
      </w:pPr>
      <w:r>
        <w:rPr>
          <w:rStyle w:val="FootnoteReference"/>
        </w:rPr>
        <w:footnoteRef/>
      </w:r>
      <w:r>
        <w:t xml:space="preserve"> Ibid at 541.</w:t>
      </w:r>
    </w:p>
  </w:footnote>
  <w:footnote w:id="92">
    <w:p w14:paraId="6A50680D" w14:textId="77777777" w:rsidR="00A478E6" w:rsidRDefault="00A478E6" w:rsidP="005766C8">
      <w:pPr>
        <w:pStyle w:val="FootnoteText"/>
        <w:jc w:val="both"/>
      </w:pPr>
      <w:r>
        <w:rPr>
          <w:rStyle w:val="FootnoteReference"/>
        </w:rPr>
        <w:footnoteRef/>
      </w:r>
      <w:r w:rsidR="00093562">
        <w:t xml:space="preserve"> See Walker, </w:t>
      </w:r>
      <w:r w:rsidR="006617D0">
        <w:t>n 8</w:t>
      </w:r>
      <w:r w:rsidR="00DA1487">
        <w:t>9</w:t>
      </w:r>
      <w:r w:rsidR="006617D0">
        <w:t xml:space="preserve"> above at</w:t>
      </w:r>
      <w:r w:rsidR="00093562">
        <w:t xml:space="preserve"> 98-104.</w:t>
      </w:r>
    </w:p>
  </w:footnote>
  <w:footnote w:id="93">
    <w:p w14:paraId="29B4B1C9" w14:textId="77777777" w:rsidR="00A478E6" w:rsidRDefault="00A478E6" w:rsidP="005766C8">
      <w:pPr>
        <w:pStyle w:val="FootnoteText"/>
        <w:jc w:val="both"/>
      </w:pPr>
      <w:r>
        <w:rPr>
          <w:rStyle w:val="FootnoteReference"/>
        </w:rPr>
        <w:footnoteRef/>
      </w:r>
      <w:r>
        <w:t xml:space="preserve"> Ibid at </w:t>
      </w:r>
      <w:r w:rsidR="00093562">
        <w:t xml:space="preserve">157-160 and </w:t>
      </w:r>
      <w:r w:rsidR="00093562" w:rsidRPr="00093562">
        <w:t xml:space="preserve">Beaumont &amp; Walker </w:t>
      </w:r>
      <w:r w:rsidR="006617D0">
        <w:t xml:space="preserve">n </w:t>
      </w:r>
      <w:r w:rsidR="00DA1487">
        <w:t>5</w:t>
      </w:r>
      <w:r w:rsidR="006617D0">
        <w:t>4 above</w:t>
      </w:r>
      <w:r w:rsidR="00587224">
        <w:rPr>
          <w:iCs/>
        </w:rPr>
        <w:t xml:space="preserve"> at 54-56.</w:t>
      </w:r>
    </w:p>
  </w:footnote>
  <w:footnote w:id="94">
    <w:p w14:paraId="1415378D" w14:textId="77777777" w:rsidR="00A478E6" w:rsidRDefault="00A478E6" w:rsidP="005766C8">
      <w:pPr>
        <w:pStyle w:val="FootnoteText"/>
        <w:jc w:val="both"/>
      </w:pPr>
      <w:r>
        <w:rPr>
          <w:rStyle w:val="FootnoteReference"/>
        </w:rPr>
        <w:footnoteRef/>
      </w:r>
      <w:r>
        <w:t xml:space="preserve"> See Art 21 of Regulation 4/2009, n 2</w:t>
      </w:r>
      <w:r w:rsidR="00B81A28">
        <w:t xml:space="preserve"> above</w:t>
      </w:r>
      <w:r>
        <w:t>. The only other ground is that the prescription and limitation periods for enforcement of a judgment have expired under both the law of the State of origin and the law of the requested State.</w:t>
      </w:r>
    </w:p>
  </w:footnote>
  <w:footnote w:id="95">
    <w:p w14:paraId="0D00D34C" w14:textId="4E1B6FA4" w:rsidR="00A478E6" w:rsidRDefault="00A478E6" w:rsidP="005766C8">
      <w:pPr>
        <w:pStyle w:val="FootnoteText"/>
        <w:jc w:val="both"/>
      </w:pPr>
      <w:r>
        <w:rPr>
          <w:rStyle w:val="FootnoteReference"/>
        </w:rPr>
        <w:footnoteRef/>
      </w:r>
      <w:r>
        <w:t xml:space="preserve"> The Hague Maintenance Protocol is in force for 28 States, the EU 26, Kazakhstan and Serbia, see </w:t>
      </w:r>
      <w:hyperlink r:id="rId14" w:history="1">
        <w:r w:rsidRPr="00672F25">
          <w:rPr>
            <w:rStyle w:val="Hyperlink"/>
          </w:rPr>
          <w:t>https://www.hcch.net/en/instruments/conventions/status-table/?cid=133</w:t>
        </w:r>
      </w:hyperlink>
      <w:r>
        <w:t xml:space="preserve"> accessed 11 April 2017.  The UK chose to opt in to the EU Maintenance Regulation at the end of the negotiations conscious of the unequal treatment of its judgments compared to those of the other Member States because it was keen to show that the UK could be a good member of the EU even when it has an opt out system. The UK secured the right not to apply the Hague Maintenance Protocol by </w:t>
      </w:r>
      <w:r w:rsidR="00DF4D5F">
        <w:t>applicable law</w:t>
      </w:r>
      <w:r>
        <w:t xml:space="preserve"> issues being left out of the body of the Maintenance Regulation and instead being dealt with by the EU approving the Protocol for all its Member States apart from Denmark and the UK. For a brief analysis see Beaumont, n </w:t>
      </w:r>
      <w:r w:rsidR="00587224">
        <w:t>8</w:t>
      </w:r>
      <w:r w:rsidR="00FD7CE3">
        <w:t>8</w:t>
      </w:r>
      <w:r w:rsidR="00B81A28">
        <w:t xml:space="preserve"> above</w:t>
      </w:r>
      <w:r>
        <w:t xml:space="preserve"> at n 66.</w:t>
      </w:r>
    </w:p>
  </w:footnote>
  <w:footnote w:id="96">
    <w:p w14:paraId="73B6D17D" w14:textId="77777777" w:rsidR="00A478E6" w:rsidRDefault="00A478E6" w:rsidP="005766C8">
      <w:pPr>
        <w:pStyle w:val="FootnoteText"/>
        <w:jc w:val="both"/>
      </w:pPr>
      <w:r>
        <w:rPr>
          <w:rStyle w:val="FootnoteReference"/>
        </w:rPr>
        <w:footnoteRef/>
      </w:r>
      <w:r>
        <w:t xml:space="preserve"> For an analysis of when some controls can be useful in relation to recognition and enforcement of maintenance decisions see Walker, </w:t>
      </w:r>
      <w:r w:rsidR="00D76B91">
        <w:t>n 8</w:t>
      </w:r>
      <w:r w:rsidR="00FD7CE3">
        <w:t>9</w:t>
      </w:r>
      <w:r w:rsidR="00D76B91">
        <w:t xml:space="preserve"> above</w:t>
      </w:r>
      <w:r>
        <w:t xml:space="preserve"> at 105-120.  See </w:t>
      </w:r>
      <w:proofErr w:type="spellStart"/>
      <w:r>
        <w:t>eg</w:t>
      </w:r>
      <w:proofErr w:type="spellEnd"/>
      <w:r>
        <w:t xml:space="preserve"> the Polish case where the alleged father was required to pay maintenance even though he said he was not the father and was willing to undergo a DNA test to prove it but the Polish court gave its decision without ordering such a paternity test.  Under the old Brussels I system applicable at the time the German courts were able to refuse to recognise and enforce the maintenance decision on the basis that it was contrary to public policy, ibid at 123-124.</w:t>
      </w:r>
    </w:p>
  </w:footnote>
  <w:footnote w:id="97">
    <w:p w14:paraId="478FA22B" w14:textId="77777777" w:rsidR="00A478E6" w:rsidRDefault="00A478E6" w:rsidP="005766C8">
      <w:pPr>
        <w:pStyle w:val="FootnoteText"/>
        <w:jc w:val="both"/>
      </w:pPr>
      <w:r>
        <w:rPr>
          <w:rStyle w:val="FootnoteReference"/>
        </w:rPr>
        <w:footnoteRef/>
      </w:r>
      <w:r>
        <w:t xml:space="preserve"> Notable exceptions include the current President of the CJEU, Koen </w:t>
      </w:r>
      <w:proofErr w:type="spellStart"/>
      <w:r>
        <w:t>Lenaerts</w:t>
      </w:r>
      <w:proofErr w:type="spellEnd"/>
      <w:r>
        <w:t xml:space="preserve"> who does have a</w:t>
      </w:r>
      <w:r w:rsidR="00D76B91">
        <w:t>n academic</w:t>
      </w:r>
      <w:r>
        <w:t xml:space="preserve"> background in private international law, Judge </w:t>
      </w:r>
      <w:proofErr w:type="spellStart"/>
      <w:r>
        <w:t>Toader</w:t>
      </w:r>
      <w:proofErr w:type="spellEnd"/>
      <w:r>
        <w:t xml:space="preserve"> and Advocate General </w:t>
      </w:r>
      <w:proofErr w:type="spellStart"/>
      <w:r>
        <w:t>Szpunar</w:t>
      </w:r>
      <w:proofErr w:type="spellEnd"/>
      <w:r>
        <w:t>.</w:t>
      </w:r>
    </w:p>
  </w:footnote>
  <w:footnote w:id="98">
    <w:p w14:paraId="6C4D2BE7" w14:textId="77777777" w:rsidR="00A478E6" w:rsidRDefault="00A478E6" w:rsidP="005766C8">
      <w:pPr>
        <w:pStyle w:val="FootnoteText"/>
        <w:jc w:val="both"/>
      </w:pPr>
      <w:r>
        <w:rPr>
          <w:rStyle w:val="FootnoteReference"/>
        </w:rPr>
        <w:footnoteRef/>
      </w:r>
      <w:r>
        <w:t xml:space="preserve"> See </w:t>
      </w:r>
      <w:r w:rsidRPr="009A5F7B">
        <w:t>Beaumont</w:t>
      </w:r>
      <w:r w:rsidR="00D76B91">
        <w:t xml:space="preserve"> et al n 1</w:t>
      </w:r>
      <w:r w:rsidR="00E17741">
        <w:t>9</w:t>
      </w:r>
      <w:r w:rsidR="00D76B91">
        <w:t xml:space="preserve"> above in</w:t>
      </w:r>
      <w:r>
        <w:t xml:space="preserve"> chapters 1, 3, 32, 33, 35, 37, 41 and 47.</w:t>
      </w:r>
    </w:p>
  </w:footnote>
  <w:footnote w:id="99">
    <w:p w14:paraId="679A266A" w14:textId="77777777" w:rsidR="00A478E6" w:rsidRDefault="00A478E6" w:rsidP="005766C8">
      <w:pPr>
        <w:pStyle w:val="FootnoteText"/>
        <w:jc w:val="both"/>
      </w:pPr>
      <w:r>
        <w:rPr>
          <w:rStyle w:val="FootnoteReference"/>
        </w:rPr>
        <w:footnoteRef/>
      </w:r>
      <w:r>
        <w:t xml:space="preserve"> Ibid at chapters 35 and 47.</w:t>
      </w:r>
    </w:p>
  </w:footnote>
  <w:footnote w:id="100">
    <w:p w14:paraId="1FC0A71F" w14:textId="77777777" w:rsidR="00A478E6" w:rsidRDefault="00A478E6" w:rsidP="005766C8">
      <w:pPr>
        <w:pStyle w:val="FootnoteText"/>
        <w:jc w:val="both"/>
      </w:pPr>
      <w:r>
        <w:rPr>
          <w:rStyle w:val="FootnoteReference"/>
        </w:rPr>
        <w:footnoteRef/>
      </w:r>
      <w:r>
        <w:t xml:space="preserve"> Ibid at chapter 3.</w:t>
      </w:r>
    </w:p>
  </w:footnote>
  <w:footnote w:id="101">
    <w:p w14:paraId="3CD81858" w14:textId="77777777" w:rsidR="00A478E6" w:rsidRDefault="00A478E6" w:rsidP="005766C8">
      <w:pPr>
        <w:pStyle w:val="FootnoteText"/>
        <w:jc w:val="both"/>
      </w:pPr>
      <w:r>
        <w:rPr>
          <w:rStyle w:val="FootnoteReference"/>
        </w:rPr>
        <w:footnoteRef/>
      </w:r>
      <w:r>
        <w:t xml:space="preserve"> See </w:t>
      </w:r>
      <w:r w:rsidR="00CB7E9D">
        <w:t xml:space="preserve">White Paper </w:t>
      </w:r>
      <w:r w:rsidR="00D76B91">
        <w:t>n 1</w:t>
      </w:r>
      <w:r w:rsidR="00CB7E9D">
        <w:t>5</w:t>
      </w:r>
      <w:r w:rsidR="00D76B91">
        <w:t xml:space="preserve"> above </w:t>
      </w:r>
      <w:r>
        <w:t>at 2.3.</w:t>
      </w:r>
    </w:p>
  </w:footnote>
  <w:footnote w:id="102">
    <w:p w14:paraId="492AB7C4" w14:textId="77777777" w:rsidR="00A478E6" w:rsidRDefault="00A478E6" w:rsidP="005766C8">
      <w:pPr>
        <w:pStyle w:val="FootnoteText"/>
        <w:jc w:val="both"/>
      </w:pPr>
      <w:r>
        <w:rPr>
          <w:rStyle w:val="FootnoteReference"/>
        </w:rPr>
        <w:footnoteRef/>
      </w:r>
      <w:r>
        <w:t xml:space="preserve"> Notably Lady Hale (academic and judicial background in family law) and Lord Wilson (legal practice and judicial background in family law) but also many of the other Supreme Court Justices either had family law and/or private international law experience in practice or as a judge in a lower court and certainly had extensive experience of private law matters. Though the UK would be well advised post-Brexit to ensure that all qualified lawyers have studied private international law (only Scottish advocates have this requirement at present) and this could be a very outward looking and sensible replacement for requiring a pass in EU law.</w:t>
      </w:r>
    </w:p>
  </w:footnote>
  <w:footnote w:id="103">
    <w:p w14:paraId="06D8C534" w14:textId="41D1F645" w:rsidR="00A478E6" w:rsidRDefault="00A478E6" w:rsidP="005766C8">
      <w:pPr>
        <w:pStyle w:val="FootnoteText"/>
        <w:jc w:val="both"/>
      </w:pPr>
      <w:r>
        <w:rPr>
          <w:rStyle w:val="FootnoteReference"/>
        </w:rPr>
        <w:footnoteRef/>
      </w:r>
      <w:r>
        <w:t xml:space="preserve"> See </w:t>
      </w:r>
      <w:r w:rsidRPr="000A1A24">
        <w:t>Beaumont</w:t>
      </w:r>
      <w:r w:rsidR="007A638C">
        <w:t xml:space="preserve"> et al n 1</w:t>
      </w:r>
      <w:r w:rsidR="00CB7E9D">
        <w:t>9</w:t>
      </w:r>
      <w:r w:rsidR="007A638C">
        <w:t xml:space="preserve"> above in</w:t>
      </w:r>
      <w:r>
        <w:t xml:space="preserve"> chapters 3, 33, 41 and 47.  See also </w:t>
      </w:r>
      <w:r w:rsidRPr="001340D1">
        <w:t xml:space="preserve">Working Paper No. 2016/6 </w:t>
      </w:r>
      <w:r w:rsidR="007A638C">
        <w:t>n 2</w:t>
      </w:r>
      <w:r w:rsidR="00CB7E9D">
        <w:t>8</w:t>
      </w:r>
      <w:r w:rsidR="007A638C">
        <w:t xml:space="preserve"> above </w:t>
      </w:r>
      <w:r>
        <w:t xml:space="preserve">at ‘K’ saying: </w:t>
      </w:r>
      <w:r w:rsidR="009F19B6">
        <w:t>‘</w:t>
      </w:r>
      <w:r w:rsidRPr="001340D1">
        <w:t>the UK Supreme Court will be able to give a lead in uniform interpretation of the Conventions unfettered by the dynamics of the EU integration agenda which may distort the CJEU’s ability to carefully interpret international conventions consistent with the intentions of the drafters. The CJEU does not have a practice of referring to the leading jurisprudence of the courts of Contracting States when interpreting international conventions which makes it difficult for that Court to reflect an internationalist interpretation of those conventions.</w:t>
      </w:r>
      <w:r w:rsidR="009F19B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40D85"/>
    <w:multiLevelType w:val="hybridMultilevel"/>
    <w:tmpl w:val="B8E83B3E"/>
    <w:lvl w:ilvl="0" w:tplc="1A602ECE">
      <w:start w:val="1"/>
      <w:numFmt w:val="bullet"/>
      <w:lvlText w:val=""/>
      <w:lvlJc w:val="left"/>
      <w:pPr>
        <w:tabs>
          <w:tab w:val="num" w:pos="720"/>
        </w:tabs>
        <w:ind w:left="720" w:hanging="360"/>
      </w:pPr>
      <w:rPr>
        <w:rFonts w:ascii="Wingdings 3" w:hAnsi="Wingdings 3" w:hint="default"/>
      </w:rPr>
    </w:lvl>
    <w:lvl w:ilvl="1" w:tplc="EA6CD00C" w:tentative="1">
      <w:start w:val="1"/>
      <w:numFmt w:val="bullet"/>
      <w:lvlText w:val=""/>
      <w:lvlJc w:val="left"/>
      <w:pPr>
        <w:tabs>
          <w:tab w:val="num" w:pos="1440"/>
        </w:tabs>
        <w:ind w:left="1440" w:hanging="360"/>
      </w:pPr>
      <w:rPr>
        <w:rFonts w:ascii="Wingdings 3" w:hAnsi="Wingdings 3" w:hint="default"/>
      </w:rPr>
    </w:lvl>
    <w:lvl w:ilvl="2" w:tplc="053E5C74" w:tentative="1">
      <w:start w:val="1"/>
      <w:numFmt w:val="bullet"/>
      <w:lvlText w:val=""/>
      <w:lvlJc w:val="left"/>
      <w:pPr>
        <w:tabs>
          <w:tab w:val="num" w:pos="2160"/>
        </w:tabs>
        <w:ind w:left="2160" w:hanging="360"/>
      </w:pPr>
      <w:rPr>
        <w:rFonts w:ascii="Wingdings 3" w:hAnsi="Wingdings 3" w:hint="default"/>
      </w:rPr>
    </w:lvl>
    <w:lvl w:ilvl="3" w:tplc="2E222FE0" w:tentative="1">
      <w:start w:val="1"/>
      <w:numFmt w:val="bullet"/>
      <w:lvlText w:val=""/>
      <w:lvlJc w:val="left"/>
      <w:pPr>
        <w:tabs>
          <w:tab w:val="num" w:pos="2880"/>
        </w:tabs>
        <w:ind w:left="2880" w:hanging="360"/>
      </w:pPr>
      <w:rPr>
        <w:rFonts w:ascii="Wingdings 3" w:hAnsi="Wingdings 3" w:hint="default"/>
      </w:rPr>
    </w:lvl>
    <w:lvl w:ilvl="4" w:tplc="E8F82AFA" w:tentative="1">
      <w:start w:val="1"/>
      <w:numFmt w:val="bullet"/>
      <w:lvlText w:val=""/>
      <w:lvlJc w:val="left"/>
      <w:pPr>
        <w:tabs>
          <w:tab w:val="num" w:pos="3600"/>
        </w:tabs>
        <w:ind w:left="3600" w:hanging="360"/>
      </w:pPr>
      <w:rPr>
        <w:rFonts w:ascii="Wingdings 3" w:hAnsi="Wingdings 3" w:hint="default"/>
      </w:rPr>
    </w:lvl>
    <w:lvl w:ilvl="5" w:tplc="415A90CA" w:tentative="1">
      <w:start w:val="1"/>
      <w:numFmt w:val="bullet"/>
      <w:lvlText w:val=""/>
      <w:lvlJc w:val="left"/>
      <w:pPr>
        <w:tabs>
          <w:tab w:val="num" w:pos="4320"/>
        </w:tabs>
        <w:ind w:left="4320" w:hanging="360"/>
      </w:pPr>
      <w:rPr>
        <w:rFonts w:ascii="Wingdings 3" w:hAnsi="Wingdings 3" w:hint="default"/>
      </w:rPr>
    </w:lvl>
    <w:lvl w:ilvl="6" w:tplc="1262AFFA" w:tentative="1">
      <w:start w:val="1"/>
      <w:numFmt w:val="bullet"/>
      <w:lvlText w:val=""/>
      <w:lvlJc w:val="left"/>
      <w:pPr>
        <w:tabs>
          <w:tab w:val="num" w:pos="5040"/>
        </w:tabs>
        <w:ind w:left="5040" w:hanging="360"/>
      </w:pPr>
      <w:rPr>
        <w:rFonts w:ascii="Wingdings 3" w:hAnsi="Wingdings 3" w:hint="default"/>
      </w:rPr>
    </w:lvl>
    <w:lvl w:ilvl="7" w:tplc="A08A41AC" w:tentative="1">
      <w:start w:val="1"/>
      <w:numFmt w:val="bullet"/>
      <w:lvlText w:val=""/>
      <w:lvlJc w:val="left"/>
      <w:pPr>
        <w:tabs>
          <w:tab w:val="num" w:pos="5760"/>
        </w:tabs>
        <w:ind w:left="5760" w:hanging="360"/>
      </w:pPr>
      <w:rPr>
        <w:rFonts w:ascii="Wingdings 3" w:hAnsi="Wingdings 3" w:hint="default"/>
      </w:rPr>
    </w:lvl>
    <w:lvl w:ilvl="8" w:tplc="EDB6FE2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8B"/>
    <w:rsid w:val="000020E5"/>
    <w:rsid w:val="000031A8"/>
    <w:rsid w:val="00004670"/>
    <w:rsid w:val="000111E7"/>
    <w:rsid w:val="00013A58"/>
    <w:rsid w:val="0002245F"/>
    <w:rsid w:val="000242A1"/>
    <w:rsid w:val="00031508"/>
    <w:rsid w:val="00034E17"/>
    <w:rsid w:val="000373C8"/>
    <w:rsid w:val="00040F1C"/>
    <w:rsid w:val="00041AA8"/>
    <w:rsid w:val="0004507D"/>
    <w:rsid w:val="00071F95"/>
    <w:rsid w:val="000777B6"/>
    <w:rsid w:val="00080384"/>
    <w:rsid w:val="00083780"/>
    <w:rsid w:val="00085BF2"/>
    <w:rsid w:val="00087831"/>
    <w:rsid w:val="00087D27"/>
    <w:rsid w:val="00093562"/>
    <w:rsid w:val="0009389C"/>
    <w:rsid w:val="000A1A24"/>
    <w:rsid w:val="000B4CB8"/>
    <w:rsid w:val="000C0A19"/>
    <w:rsid w:val="000E3D05"/>
    <w:rsid w:val="001019C9"/>
    <w:rsid w:val="00106A5A"/>
    <w:rsid w:val="00127210"/>
    <w:rsid w:val="00131C48"/>
    <w:rsid w:val="001320B8"/>
    <w:rsid w:val="001334CB"/>
    <w:rsid w:val="001340D1"/>
    <w:rsid w:val="00135224"/>
    <w:rsid w:val="001564A9"/>
    <w:rsid w:val="00160618"/>
    <w:rsid w:val="00160D7D"/>
    <w:rsid w:val="00162410"/>
    <w:rsid w:val="00162A7A"/>
    <w:rsid w:val="00163402"/>
    <w:rsid w:val="00174E47"/>
    <w:rsid w:val="00185CC7"/>
    <w:rsid w:val="001A16C4"/>
    <w:rsid w:val="001A1BDF"/>
    <w:rsid w:val="001A2485"/>
    <w:rsid w:val="001C4EA6"/>
    <w:rsid w:val="001C5707"/>
    <w:rsid w:val="001C5B57"/>
    <w:rsid w:val="001C6780"/>
    <w:rsid w:val="001D015A"/>
    <w:rsid w:val="001D537F"/>
    <w:rsid w:val="001F36D7"/>
    <w:rsid w:val="002031A4"/>
    <w:rsid w:val="00204DD5"/>
    <w:rsid w:val="00206B78"/>
    <w:rsid w:val="002168EC"/>
    <w:rsid w:val="00232281"/>
    <w:rsid w:val="00233B22"/>
    <w:rsid w:val="0024197A"/>
    <w:rsid w:val="00245E31"/>
    <w:rsid w:val="002461EE"/>
    <w:rsid w:val="0025171A"/>
    <w:rsid w:val="00261576"/>
    <w:rsid w:val="002659BC"/>
    <w:rsid w:val="0027519B"/>
    <w:rsid w:val="00275C86"/>
    <w:rsid w:val="002802B9"/>
    <w:rsid w:val="00281176"/>
    <w:rsid w:val="002901CC"/>
    <w:rsid w:val="002A1E2A"/>
    <w:rsid w:val="002A5977"/>
    <w:rsid w:val="002A7C8C"/>
    <w:rsid w:val="002B27D8"/>
    <w:rsid w:val="002C364B"/>
    <w:rsid w:val="002D0EDB"/>
    <w:rsid w:val="002D163D"/>
    <w:rsid w:val="002D2CAA"/>
    <w:rsid w:val="002D78E5"/>
    <w:rsid w:val="002E2716"/>
    <w:rsid w:val="002E7160"/>
    <w:rsid w:val="002F38DC"/>
    <w:rsid w:val="002F7329"/>
    <w:rsid w:val="00301756"/>
    <w:rsid w:val="0030729C"/>
    <w:rsid w:val="00315CC3"/>
    <w:rsid w:val="00325B32"/>
    <w:rsid w:val="00335147"/>
    <w:rsid w:val="00336926"/>
    <w:rsid w:val="00341E36"/>
    <w:rsid w:val="0035076E"/>
    <w:rsid w:val="0035198F"/>
    <w:rsid w:val="0035234D"/>
    <w:rsid w:val="00354BED"/>
    <w:rsid w:val="0036667A"/>
    <w:rsid w:val="0036689F"/>
    <w:rsid w:val="00366EAB"/>
    <w:rsid w:val="003705DB"/>
    <w:rsid w:val="00372E28"/>
    <w:rsid w:val="00382E8B"/>
    <w:rsid w:val="003A0E44"/>
    <w:rsid w:val="003A48ED"/>
    <w:rsid w:val="003B14B9"/>
    <w:rsid w:val="003B193A"/>
    <w:rsid w:val="003B271E"/>
    <w:rsid w:val="003D0791"/>
    <w:rsid w:val="003D2514"/>
    <w:rsid w:val="003D56A1"/>
    <w:rsid w:val="003D5C75"/>
    <w:rsid w:val="003E2DD1"/>
    <w:rsid w:val="003E2ECB"/>
    <w:rsid w:val="0040029A"/>
    <w:rsid w:val="00407901"/>
    <w:rsid w:val="004127CA"/>
    <w:rsid w:val="00413F39"/>
    <w:rsid w:val="004168E6"/>
    <w:rsid w:val="0042450E"/>
    <w:rsid w:val="00424577"/>
    <w:rsid w:val="00437614"/>
    <w:rsid w:val="0044177C"/>
    <w:rsid w:val="00445C2F"/>
    <w:rsid w:val="004472CD"/>
    <w:rsid w:val="004519C4"/>
    <w:rsid w:val="00460098"/>
    <w:rsid w:val="00460D6B"/>
    <w:rsid w:val="0046350B"/>
    <w:rsid w:val="004639E1"/>
    <w:rsid w:val="004703C4"/>
    <w:rsid w:val="00472ACB"/>
    <w:rsid w:val="00486CEA"/>
    <w:rsid w:val="00497A55"/>
    <w:rsid w:val="004C1848"/>
    <w:rsid w:val="004C2AFA"/>
    <w:rsid w:val="004D1FF4"/>
    <w:rsid w:val="004F258C"/>
    <w:rsid w:val="004F4DCF"/>
    <w:rsid w:val="00500559"/>
    <w:rsid w:val="00504D06"/>
    <w:rsid w:val="00505C99"/>
    <w:rsid w:val="0050780D"/>
    <w:rsid w:val="00507C80"/>
    <w:rsid w:val="00512DBA"/>
    <w:rsid w:val="00514B14"/>
    <w:rsid w:val="00514D5B"/>
    <w:rsid w:val="00526D37"/>
    <w:rsid w:val="005352C3"/>
    <w:rsid w:val="005547BA"/>
    <w:rsid w:val="00557B18"/>
    <w:rsid w:val="005602EE"/>
    <w:rsid w:val="005615EA"/>
    <w:rsid w:val="00562AB7"/>
    <w:rsid w:val="00574556"/>
    <w:rsid w:val="005765AD"/>
    <w:rsid w:val="005766C8"/>
    <w:rsid w:val="00584038"/>
    <w:rsid w:val="00587224"/>
    <w:rsid w:val="00590BDF"/>
    <w:rsid w:val="005966E1"/>
    <w:rsid w:val="00597327"/>
    <w:rsid w:val="005A3A6F"/>
    <w:rsid w:val="005A545F"/>
    <w:rsid w:val="005B3822"/>
    <w:rsid w:val="005B7A4C"/>
    <w:rsid w:val="005C17D1"/>
    <w:rsid w:val="005C20A4"/>
    <w:rsid w:val="005C6AE1"/>
    <w:rsid w:val="005D0D18"/>
    <w:rsid w:val="005D1406"/>
    <w:rsid w:val="005D25AC"/>
    <w:rsid w:val="005E2225"/>
    <w:rsid w:val="0061197B"/>
    <w:rsid w:val="00616068"/>
    <w:rsid w:val="0062004E"/>
    <w:rsid w:val="006242F1"/>
    <w:rsid w:val="00624F04"/>
    <w:rsid w:val="006306DB"/>
    <w:rsid w:val="006339BF"/>
    <w:rsid w:val="0063437A"/>
    <w:rsid w:val="00634EA1"/>
    <w:rsid w:val="00637D26"/>
    <w:rsid w:val="00641AA4"/>
    <w:rsid w:val="00644C86"/>
    <w:rsid w:val="00660AED"/>
    <w:rsid w:val="006617D0"/>
    <w:rsid w:val="006628BF"/>
    <w:rsid w:val="006679DA"/>
    <w:rsid w:val="006708C2"/>
    <w:rsid w:val="00684856"/>
    <w:rsid w:val="006977B8"/>
    <w:rsid w:val="006B41D7"/>
    <w:rsid w:val="006C4B49"/>
    <w:rsid w:val="006D5627"/>
    <w:rsid w:val="006E2C0E"/>
    <w:rsid w:val="006E42EA"/>
    <w:rsid w:val="006E5EA8"/>
    <w:rsid w:val="006F087A"/>
    <w:rsid w:val="006F1DE5"/>
    <w:rsid w:val="006F5C24"/>
    <w:rsid w:val="006F7D45"/>
    <w:rsid w:val="007053F4"/>
    <w:rsid w:val="0071127B"/>
    <w:rsid w:val="00712387"/>
    <w:rsid w:val="00715191"/>
    <w:rsid w:val="007168AD"/>
    <w:rsid w:val="0072111E"/>
    <w:rsid w:val="007239A5"/>
    <w:rsid w:val="00735748"/>
    <w:rsid w:val="007413F5"/>
    <w:rsid w:val="007421A1"/>
    <w:rsid w:val="0075161A"/>
    <w:rsid w:val="00754CCD"/>
    <w:rsid w:val="00755001"/>
    <w:rsid w:val="0076194B"/>
    <w:rsid w:val="0076457F"/>
    <w:rsid w:val="0076548D"/>
    <w:rsid w:val="00766D2C"/>
    <w:rsid w:val="007739B9"/>
    <w:rsid w:val="007768E1"/>
    <w:rsid w:val="007768F5"/>
    <w:rsid w:val="007769CF"/>
    <w:rsid w:val="00780BF3"/>
    <w:rsid w:val="00781CC8"/>
    <w:rsid w:val="007877D3"/>
    <w:rsid w:val="00795670"/>
    <w:rsid w:val="007963EB"/>
    <w:rsid w:val="007A4F41"/>
    <w:rsid w:val="007A638C"/>
    <w:rsid w:val="007B1A5A"/>
    <w:rsid w:val="007C0DAD"/>
    <w:rsid w:val="007C40F4"/>
    <w:rsid w:val="007C5B19"/>
    <w:rsid w:val="007D3843"/>
    <w:rsid w:val="007E0C5D"/>
    <w:rsid w:val="007F4E8F"/>
    <w:rsid w:val="00806DEE"/>
    <w:rsid w:val="00807C55"/>
    <w:rsid w:val="00810400"/>
    <w:rsid w:val="00831183"/>
    <w:rsid w:val="00836A98"/>
    <w:rsid w:val="008402A8"/>
    <w:rsid w:val="00853EEF"/>
    <w:rsid w:val="00854A9E"/>
    <w:rsid w:val="008550F0"/>
    <w:rsid w:val="0085719D"/>
    <w:rsid w:val="00863393"/>
    <w:rsid w:val="00866B1F"/>
    <w:rsid w:val="00870640"/>
    <w:rsid w:val="00872389"/>
    <w:rsid w:val="008753BF"/>
    <w:rsid w:val="008778D2"/>
    <w:rsid w:val="00880522"/>
    <w:rsid w:val="008854F8"/>
    <w:rsid w:val="00885A6F"/>
    <w:rsid w:val="00886E40"/>
    <w:rsid w:val="00887CEE"/>
    <w:rsid w:val="00892931"/>
    <w:rsid w:val="00896AC3"/>
    <w:rsid w:val="008A788F"/>
    <w:rsid w:val="008B03B5"/>
    <w:rsid w:val="008B2CDB"/>
    <w:rsid w:val="008B44D7"/>
    <w:rsid w:val="008B75D4"/>
    <w:rsid w:val="008D0D0E"/>
    <w:rsid w:val="008D2F16"/>
    <w:rsid w:val="008D53A6"/>
    <w:rsid w:val="008E66CA"/>
    <w:rsid w:val="008F4720"/>
    <w:rsid w:val="009043CF"/>
    <w:rsid w:val="00907823"/>
    <w:rsid w:val="009128AC"/>
    <w:rsid w:val="00920F57"/>
    <w:rsid w:val="0092389D"/>
    <w:rsid w:val="00923A8F"/>
    <w:rsid w:val="00927912"/>
    <w:rsid w:val="00930809"/>
    <w:rsid w:val="00931D26"/>
    <w:rsid w:val="00932F0C"/>
    <w:rsid w:val="00933CC8"/>
    <w:rsid w:val="00935221"/>
    <w:rsid w:val="00942550"/>
    <w:rsid w:val="00946719"/>
    <w:rsid w:val="00946FE1"/>
    <w:rsid w:val="00976382"/>
    <w:rsid w:val="00976EB3"/>
    <w:rsid w:val="00985F6F"/>
    <w:rsid w:val="00991E11"/>
    <w:rsid w:val="009A1BD0"/>
    <w:rsid w:val="009A2191"/>
    <w:rsid w:val="009A5B65"/>
    <w:rsid w:val="009A5F7B"/>
    <w:rsid w:val="009B2C87"/>
    <w:rsid w:val="009B5E0E"/>
    <w:rsid w:val="009C1784"/>
    <w:rsid w:val="009C1C4E"/>
    <w:rsid w:val="009D7124"/>
    <w:rsid w:val="009F19B6"/>
    <w:rsid w:val="009F5B80"/>
    <w:rsid w:val="00A02BF7"/>
    <w:rsid w:val="00A2033D"/>
    <w:rsid w:val="00A2710F"/>
    <w:rsid w:val="00A34F38"/>
    <w:rsid w:val="00A40FC2"/>
    <w:rsid w:val="00A432EA"/>
    <w:rsid w:val="00A478E6"/>
    <w:rsid w:val="00A61651"/>
    <w:rsid w:val="00A94B29"/>
    <w:rsid w:val="00AB1985"/>
    <w:rsid w:val="00AC309B"/>
    <w:rsid w:val="00AC38CC"/>
    <w:rsid w:val="00AC6278"/>
    <w:rsid w:val="00AD7C92"/>
    <w:rsid w:val="00AE73A7"/>
    <w:rsid w:val="00B00B28"/>
    <w:rsid w:val="00B0340A"/>
    <w:rsid w:val="00B062DE"/>
    <w:rsid w:val="00B07B37"/>
    <w:rsid w:val="00B169DA"/>
    <w:rsid w:val="00B20E03"/>
    <w:rsid w:val="00B21315"/>
    <w:rsid w:val="00B23195"/>
    <w:rsid w:val="00B33BC7"/>
    <w:rsid w:val="00B36103"/>
    <w:rsid w:val="00B416E4"/>
    <w:rsid w:val="00B668EF"/>
    <w:rsid w:val="00B67026"/>
    <w:rsid w:val="00B70743"/>
    <w:rsid w:val="00B731D2"/>
    <w:rsid w:val="00B7380F"/>
    <w:rsid w:val="00B81A28"/>
    <w:rsid w:val="00B82310"/>
    <w:rsid w:val="00B97253"/>
    <w:rsid w:val="00BB3B34"/>
    <w:rsid w:val="00BD134A"/>
    <w:rsid w:val="00BE7E3B"/>
    <w:rsid w:val="00BF2ACD"/>
    <w:rsid w:val="00BF60DC"/>
    <w:rsid w:val="00C0480C"/>
    <w:rsid w:val="00C04A79"/>
    <w:rsid w:val="00C26CD8"/>
    <w:rsid w:val="00C2741C"/>
    <w:rsid w:val="00C3013F"/>
    <w:rsid w:val="00C30203"/>
    <w:rsid w:val="00C33620"/>
    <w:rsid w:val="00C34E74"/>
    <w:rsid w:val="00C402F2"/>
    <w:rsid w:val="00C51466"/>
    <w:rsid w:val="00C52D04"/>
    <w:rsid w:val="00C55A9E"/>
    <w:rsid w:val="00C61CE7"/>
    <w:rsid w:val="00C62AB0"/>
    <w:rsid w:val="00C73B21"/>
    <w:rsid w:val="00C74879"/>
    <w:rsid w:val="00C77602"/>
    <w:rsid w:val="00C84941"/>
    <w:rsid w:val="00C84E5D"/>
    <w:rsid w:val="00CA25AF"/>
    <w:rsid w:val="00CB3251"/>
    <w:rsid w:val="00CB4064"/>
    <w:rsid w:val="00CB7E9D"/>
    <w:rsid w:val="00CC0A42"/>
    <w:rsid w:val="00CC2DB3"/>
    <w:rsid w:val="00CC3861"/>
    <w:rsid w:val="00CD2B58"/>
    <w:rsid w:val="00CE0521"/>
    <w:rsid w:val="00D22332"/>
    <w:rsid w:val="00D24B40"/>
    <w:rsid w:val="00D34373"/>
    <w:rsid w:val="00D40E29"/>
    <w:rsid w:val="00D41BD6"/>
    <w:rsid w:val="00D43E2C"/>
    <w:rsid w:val="00D446D7"/>
    <w:rsid w:val="00D60E7A"/>
    <w:rsid w:val="00D61688"/>
    <w:rsid w:val="00D64447"/>
    <w:rsid w:val="00D70A7C"/>
    <w:rsid w:val="00D76A50"/>
    <w:rsid w:val="00D76B91"/>
    <w:rsid w:val="00D800D9"/>
    <w:rsid w:val="00D837BE"/>
    <w:rsid w:val="00D848F6"/>
    <w:rsid w:val="00D859AD"/>
    <w:rsid w:val="00D91DCC"/>
    <w:rsid w:val="00D93897"/>
    <w:rsid w:val="00D96F49"/>
    <w:rsid w:val="00D97794"/>
    <w:rsid w:val="00D97C3C"/>
    <w:rsid w:val="00DA1487"/>
    <w:rsid w:val="00DA4F3B"/>
    <w:rsid w:val="00DB0AAB"/>
    <w:rsid w:val="00DB4680"/>
    <w:rsid w:val="00DC36AA"/>
    <w:rsid w:val="00DC730F"/>
    <w:rsid w:val="00DD7D9C"/>
    <w:rsid w:val="00DE1BC8"/>
    <w:rsid w:val="00DE5271"/>
    <w:rsid w:val="00DE5731"/>
    <w:rsid w:val="00DF0B74"/>
    <w:rsid w:val="00DF4D5F"/>
    <w:rsid w:val="00DF5820"/>
    <w:rsid w:val="00E0191E"/>
    <w:rsid w:val="00E0349B"/>
    <w:rsid w:val="00E17741"/>
    <w:rsid w:val="00E22DF1"/>
    <w:rsid w:val="00E30741"/>
    <w:rsid w:val="00E4025B"/>
    <w:rsid w:val="00E402B0"/>
    <w:rsid w:val="00E606EB"/>
    <w:rsid w:val="00E66575"/>
    <w:rsid w:val="00E72492"/>
    <w:rsid w:val="00E73E11"/>
    <w:rsid w:val="00E86877"/>
    <w:rsid w:val="00EA2515"/>
    <w:rsid w:val="00EA5494"/>
    <w:rsid w:val="00EB56F7"/>
    <w:rsid w:val="00EC49D6"/>
    <w:rsid w:val="00EE1DEB"/>
    <w:rsid w:val="00EE4DA8"/>
    <w:rsid w:val="00EE4E42"/>
    <w:rsid w:val="00EE6D53"/>
    <w:rsid w:val="00EF05F0"/>
    <w:rsid w:val="00F12165"/>
    <w:rsid w:val="00F14B11"/>
    <w:rsid w:val="00F1646C"/>
    <w:rsid w:val="00F3151F"/>
    <w:rsid w:val="00F34C3C"/>
    <w:rsid w:val="00F3700C"/>
    <w:rsid w:val="00F4504D"/>
    <w:rsid w:val="00F5104F"/>
    <w:rsid w:val="00F6394C"/>
    <w:rsid w:val="00F673AE"/>
    <w:rsid w:val="00F80FDD"/>
    <w:rsid w:val="00FA03C1"/>
    <w:rsid w:val="00FA52C9"/>
    <w:rsid w:val="00FC1BDC"/>
    <w:rsid w:val="00FC4B08"/>
    <w:rsid w:val="00FC4FE4"/>
    <w:rsid w:val="00FD3B25"/>
    <w:rsid w:val="00FD7CE3"/>
    <w:rsid w:val="00FE665B"/>
    <w:rsid w:val="00FE6688"/>
    <w:rsid w:val="00FF14B3"/>
    <w:rsid w:val="00FF5757"/>
    <w:rsid w:val="00FF597F"/>
    <w:rsid w:val="00FF64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6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19D"/>
    <w:rPr>
      <w:sz w:val="16"/>
      <w:szCs w:val="16"/>
    </w:rPr>
  </w:style>
  <w:style w:type="paragraph" w:styleId="CommentText">
    <w:name w:val="annotation text"/>
    <w:basedOn w:val="Normal"/>
    <w:link w:val="CommentTextChar"/>
    <w:uiPriority w:val="99"/>
    <w:semiHidden/>
    <w:unhideWhenUsed/>
    <w:rsid w:val="0085719D"/>
    <w:rPr>
      <w:sz w:val="20"/>
      <w:szCs w:val="20"/>
    </w:rPr>
  </w:style>
  <w:style w:type="character" w:customStyle="1" w:styleId="CommentTextChar">
    <w:name w:val="Comment Text Char"/>
    <w:basedOn w:val="DefaultParagraphFont"/>
    <w:link w:val="CommentText"/>
    <w:uiPriority w:val="99"/>
    <w:semiHidden/>
    <w:rsid w:val="0085719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719D"/>
    <w:rPr>
      <w:b/>
      <w:bCs/>
    </w:rPr>
  </w:style>
  <w:style w:type="character" w:customStyle="1" w:styleId="CommentSubjectChar">
    <w:name w:val="Comment Subject Char"/>
    <w:basedOn w:val="CommentTextChar"/>
    <w:link w:val="CommentSubject"/>
    <w:uiPriority w:val="99"/>
    <w:semiHidden/>
    <w:rsid w:val="0085719D"/>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857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D"/>
    <w:rPr>
      <w:rFonts w:ascii="Segoe UI" w:hAnsi="Segoe UI" w:cs="Segoe UI"/>
      <w:sz w:val="18"/>
      <w:szCs w:val="18"/>
      <w:lang w:eastAsia="en-GB"/>
    </w:rPr>
  </w:style>
  <w:style w:type="paragraph" w:styleId="FootnoteText">
    <w:name w:val="footnote text"/>
    <w:basedOn w:val="Normal"/>
    <w:link w:val="FootnoteTextChar"/>
    <w:uiPriority w:val="99"/>
    <w:unhideWhenUsed/>
    <w:rsid w:val="0030729C"/>
    <w:rPr>
      <w:sz w:val="20"/>
      <w:szCs w:val="20"/>
    </w:rPr>
  </w:style>
  <w:style w:type="character" w:customStyle="1" w:styleId="FootnoteTextChar">
    <w:name w:val="Footnote Text Char"/>
    <w:basedOn w:val="DefaultParagraphFont"/>
    <w:link w:val="FootnoteText"/>
    <w:uiPriority w:val="99"/>
    <w:rsid w:val="0030729C"/>
    <w:rPr>
      <w:rFonts w:ascii="Calibri" w:hAnsi="Calibri" w:cs="Times New Roman"/>
      <w:sz w:val="20"/>
      <w:szCs w:val="20"/>
      <w:lang w:eastAsia="en-GB"/>
    </w:rPr>
  </w:style>
  <w:style w:type="character" w:styleId="FootnoteReference">
    <w:name w:val="footnote reference"/>
    <w:basedOn w:val="DefaultParagraphFont"/>
    <w:uiPriority w:val="99"/>
    <w:unhideWhenUsed/>
    <w:rsid w:val="0030729C"/>
    <w:rPr>
      <w:vertAlign w:val="superscript"/>
    </w:rPr>
  </w:style>
  <w:style w:type="character" w:styleId="Hyperlink">
    <w:name w:val="Hyperlink"/>
    <w:basedOn w:val="DefaultParagraphFont"/>
    <w:uiPriority w:val="99"/>
    <w:unhideWhenUsed/>
    <w:rsid w:val="007F4E8F"/>
    <w:rPr>
      <w:color w:val="0563C1" w:themeColor="hyperlink"/>
      <w:u w:val="single"/>
    </w:rPr>
  </w:style>
  <w:style w:type="character" w:styleId="FollowedHyperlink">
    <w:name w:val="FollowedHyperlink"/>
    <w:basedOn w:val="DefaultParagraphFont"/>
    <w:uiPriority w:val="99"/>
    <w:semiHidden/>
    <w:unhideWhenUsed/>
    <w:rsid w:val="0075161A"/>
    <w:rPr>
      <w:color w:val="954F72" w:themeColor="followedHyperlink"/>
      <w:u w:val="single"/>
    </w:rPr>
  </w:style>
  <w:style w:type="paragraph" w:styleId="ListParagraph">
    <w:name w:val="List Paragraph"/>
    <w:basedOn w:val="Normal"/>
    <w:uiPriority w:val="34"/>
    <w:qFormat/>
    <w:rsid w:val="00866B1F"/>
    <w:pPr>
      <w:ind w:left="720"/>
      <w:contextualSpacing/>
    </w:pPr>
    <w:rPr>
      <w:rFonts w:ascii="Times New Roman" w:eastAsia="Times New Roman" w:hAnsi="Times New Roman"/>
      <w:sz w:val="24"/>
      <w:szCs w:val="24"/>
      <w:lang w:eastAsia="zh-CN" w:bidi="he-IL"/>
    </w:rPr>
  </w:style>
  <w:style w:type="paragraph" w:styleId="Header">
    <w:name w:val="header"/>
    <w:basedOn w:val="Normal"/>
    <w:link w:val="HeaderChar"/>
    <w:uiPriority w:val="99"/>
    <w:unhideWhenUsed/>
    <w:rsid w:val="00574556"/>
    <w:pPr>
      <w:tabs>
        <w:tab w:val="center" w:pos="4513"/>
        <w:tab w:val="right" w:pos="9026"/>
      </w:tabs>
    </w:pPr>
  </w:style>
  <w:style w:type="character" w:customStyle="1" w:styleId="HeaderChar">
    <w:name w:val="Header Char"/>
    <w:basedOn w:val="DefaultParagraphFont"/>
    <w:link w:val="Header"/>
    <w:uiPriority w:val="99"/>
    <w:rsid w:val="00574556"/>
    <w:rPr>
      <w:rFonts w:ascii="Calibri" w:hAnsi="Calibri" w:cs="Times New Roman"/>
      <w:lang w:eastAsia="en-GB"/>
    </w:rPr>
  </w:style>
  <w:style w:type="paragraph" w:styleId="Footer">
    <w:name w:val="footer"/>
    <w:basedOn w:val="Normal"/>
    <w:link w:val="FooterChar"/>
    <w:uiPriority w:val="99"/>
    <w:unhideWhenUsed/>
    <w:rsid w:val="00574556"/>
    <w:pPr>
      <w:tabs>
        <w:tab w:val="center" w:pos="4513"/>
        <w:tab w:val="right" w:pos="9026"/>
      </w:tabs>
    </w:pPr>
  </w:style>
  <w:style w:type="character" w:customStyle="1" w:styleId="FooterChar">
    <w:name w:val="Footer Char"/>
    <w:basedOn w:val="DefaultParagraphFont"/>
    <w:link w:val="Footer"/>
    <w:uiPriority w:val="99"/>
    <w:rsid w:val="00574556"/>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9858">
      <w:bodyDiv w:val="1"/>
      <w:marLeft w:val="0"/>
      <w:marRight w:val="0"/>
      <w:marTop w:val="0"/>
      <w:marBottom w:val="0"/>
      <w:divBdr>
        <w:top w:val="none" w:sz="0" w:space="0" w:color="auto"/>
        <w:left w:val="none" w:sz="0" w:space="0" w:color="auto"/>
        <w:bottom w:val="none" w:sz="0" w:space="0" w:color="auto"/>
        <w:right w:val="none" w:sz="0" w:space="0" w:color="auto"/>
      </w:divBdr>
      <w:divsChild>
        <w:div w:id="397702880">
          <w:marLeft w:val="547"/>
          <w:marRight w:val="0"/>
          <w:marTop w:val="200"/>
          <w:marBottom w:val="0"/>
          <w:divBdr>
            <w:top w:val="none" w:sz="0" w:space="0" w:color="auto"/>
            <w:left w:val="none" w:sz="0" w:space="0" w:color="auto"/>
            <w:bottom w:val="none" w:sz="0" w:space="0" w:color="auto"/>
            <w:right w:val="none" w:sz="0" w:space="0" w:color="auto"/>
          </w:divBdr>
        </w:div>
      </w:divsChild>
    </w:div>
    <w:div w:id="1096243829">
      <w:bodyDiv w:val="1"/>
      <w:marLeft w:val="0"/>
      <w:marRight w:val="0"/>
      <w:marTop w:val="0"/>
      <w:marBottom w:val="0"/>
      <w:divBdr>
        <w:top w:val="none" w:sz="0" w:space="0" w:color="auto"/>
        <w:left w:val="none" w:sz="0" w:space="0" w:color="auto"/>
        <w:bottom w:val="none" w:sz="0" w:space="0" w:color="auto"/>
        <w:right w:val="none" w:sz="0" w:space="0" w:color="auto"/>
      </w:divBdr>
    </w:div>
    <w:div w:id="1415738474">
      <w:bodyDiv w:val="1"/>
      <w:marLeft w:val="0"/>
      <w:marRight w:val="0"/>
      <w:marTop w:val="0"/>
      <w:marBottom w:val="0"/>
      <w:divBdr>
        <w:top w:val="none" w:sz="0" w:space="0" w:color="auto"/>
        <w:left w:val="none" w:sz="0" w:space="0" w:color="auto"/>
        <w:bottom w:val="none" w:sz="0" w:space="0" w:color="auto"/>
        <w:right w:val="none" w:sz="0" w:space="0" w:color="auto"/>
      </w:divBdr>
    </w:div>
    <w:div w:id="1848135362">
      <w:bodyDiv w:val="1"/>
      <w:marLeft w:val="0"/>
      <w:marRight w:val="0"/>
      <w:marTop w:val="0"/>
      <w:marBottom w:val="0"/>
      <w:divBdr>
        <w:top w:val="none" w:sz="0" w:space="0" w:color="auto"/>
        <w:left w:val="none" w:sz="0" w:space="0" w:color="auto"/>
        <w:bottom w:val="none" w:sz="0" w:space="0" w:color="auto"/>
        <w:right w:val="none" w:sz="0" w:space="0" w:color="auto"/>
      </w:divBdr>
      <w:divsChild>
        <w:div w:id="606237490">
          <w:marLeft w:val="0"/>
          <w:marRight w:val="0"/>
          <w:marTop w:val="0"/>
          <w:marBottom w:val="0"/>
          <w:divBdr>
            <w:top w:val="none" w:sz="0" w:space="0" w:color="auto"/>
            <w:left w:val="none" w:sz="0" w:space="0" w:color="auto"/>
            <w:bottom w:val="none" w:sz="0" w:space="0" w:color="auto"/>
            <w:right w:val="none" w:sz="0" w:space="0" w:color="auto"/>
          </w:divBdr>
          <w:divsChild>
            <w:div w:id="1527644474">
              <w:marLeft w:val="0"/>
              <w:marRight w:val="0"/>
              <w:marTop w:val="0"/>
              <w:marBottom w:val="0"/>
              <w:divBdr>
                <w:top w:val="none" w:sz="0" w:space="0" w:color="auto"/>
                <w:left w:val="none" w:sz="0" w:space="0" w:color="auto"/>
                <w:bottom w:val="none" w:sz="0" w:space="0" w:color="auto"/>
                <w:right w:val="none" w:sz="0" w:space="0" w:color="auto"/>
              </w:divBdr>
              <w:divsChild>
                <w:div w:id="500659204">
                  <w:marLeft w:val="0"/>
                  <w:marRight w:val="0"/>
                  <w:marTop w:val="0"/>
                  <w:marBottom w:val="0"/>
                  <w:divBdr>
                    <w:top w:val="none" w:sz="0" w:space="0" w:color="auto"/>
                    <w:left w:val="none" w:sz="0" w:space="0" w:color="auto"/>
                    <w:bottom w:val="none" w:sz="0" w:space="0" w:color="auto"/>
                    <w:right w:val="none" w:sz="0" w:space="0" w:color="auto"/>
                  </w:divBdr>
                  <w:divsChild>
                    <w:div w:id="1765570295">
                      <w:marLeft w:val="1"/>
                      <w:marRight w:val="1"/>
                      <w:marTop w:val="0"/>
                      <w:marBottom w:val="0"/>
                      <w:divBdr>
                        <w:top w:val="none" w:sz="0" w:space="0" w:color="auto"/>
                        <w:left w:val="none" w:sz="0" w:space="0" w:color="auto"/>
                        <w:bottom w:val="none" w:sz="0" w:space="0" w:color="auto"/>
                        <w:right w:val="none" w:sz="0" w:space="0" w:color="auto"/>
                      </w:divBdr>
                      <w:divsChild>
                        <w:div w:id="1118530744">
                          <w:marLeft w:val="0"/>
                          <w:marRight w:val="0"/>
                          <w:marTop w:val="0"/>
                          <w:marBottom w:val="0"/>
                          <w:divBdr>
                            <w:top w:val="none" w:sz="0" w:space="0" w:color="auto"/>
                            <w:left w:val="none" w:sz="0" w:space="0" w:color="auto"/>
                            <w:bottom w:val="none" w:sz="0" w:space="0" w:color="auto"/>
                            <w:right w:val="none" w:sz="0" w:space="0" w:color="auto"/>
                          </w:divBdr>
                          <w:divsChild>
                            <w:div w:id="1682275959">
                              <w:marLeft w:val="0"/>
                              <w:marRight w:val="0"/>
                              <w:marTop w:val="0"/>
                              <w:marBottom w:val="360"/>
                              <w:divBdr>
                                <w:top w:val="none" w:sz="0" w:space="0" w:color="auto"/>
                                <w:left w:val="none" w:sz="0" w:space="0" w:color="auto"/>
                                <w:bottom w:val="none" w:sz="0" w:space="0" w:color="auto"/>
                                <w:right w:val="none" w:sz="0" w:space="0" w:color="auto"/>
                              </w:divBdr>
                              <w:divsChild>
                                <w:div w:id="1160072764">
                                  <w:marLeft w:val="0"/>
                                  <w:marRight w:val="0"/>
                                  <w:marTop w:val="0"/>
                                  <w:marBottom w:val="0"/>
                                  <w:divBdr>
                                    <w:top w:val="none" w:sz="0" w:space="0" w:color="auto"/>
                                    <w:left w:val="none" w:sz="0" w:space="0" w:color="auto"/>
                                    <w:bottom w:val="none" w:sz="0" w:space="0" w:color="auto"/>
                                    <w:right w:val="none" w:sz="0" w:space="0" w:color="auto"/>
                                  </w:divBdr>
                                  <w:divsChild>
                                    <w:div w:id="10841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aw.co.uk/news_and_comment/private-international-law-concerning-children-in-the-uk-after-brexit-comparing-hague-treaty-law-with-eu-regul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bdn.ac.uk/law/research/working-papers-455.php" TargetMode="External"/><Relationship Id="rId13" Type="http://schemas.openxmlformats.org/officeDocument/2006/relationships/hyperlink" Target="http://www.abdn.ac.uk/law/research/working-papers-455.php%20accessed%2010%20April%202017" TargetMode="External"/><Relationship Id="rId3" Type="http://schemas.openxmlformats.org/officeDocument/2006/relationships/hyperlink" Target="https://www.hcch.net/en/instruments/conventions/status-table/?cid=131" TargetMode="External"/><Relationship Id="rId7" Type="http://schemas.openxmlformats.org/officeDocument/2006/relationships/hyperlink" Target="http://www.abdn.ac.uk/law/research/conflicts-of-eu-courts-on-child-abduction-417.php" TargetMode="External"/><Relationship Id="rId12" Type="http://schemas.openxmlformats.org/officeDocument/2006/relationships/hyperlink" Target="http://www.abdn.ac.uk/law/documents/Recent_Developments_on_the_Meaning_of_Habitual_Residence_in_Alleged_Child_Abduction_Cases_.pdf" TargetMode="External"/><Relationship Id="rId2" Type="http://schemas.openxmlformats.org/officeDocument/2006/relationships/hyperlink" Target="https://www.hcch.net/en/instruments/conventions/full-text/?cid=131" TargetMode="External"/><Relationship Id="rId1" Type="http://schemas.openxmlformats.org/officeDocument/2006/relationships/hyperlink" Target="mailto:p.beaumont@abdn.ac.uk" TargetMode="External"/><Relationship Id="rId6" Type="http://schemas.openxmlformats.org/officeDocument/2006/relationships/hyperlink" Target="https://www.hcch.net/en/instruments/conventions/status-table/?cid=70" TargetMode="External"/><Relationship Id="rId11" Type="http://schemas.openxmlformats.org/officeDocument/2006/relationships/hyperlink" Target="https://www.hcch.net/en/projects/legislative-projects/recognition-and-enforcement-of-agreements" TargetMode="External"/><Relationship Id="rId5" Type="http://schemas.openxmlformats.org/officeDocument/2006/relationships/hyperlink" Target="https://www.hcch.net/en/instruments/conventions/full-text/?cid=70" TargetMode="External"/><Relationship Id="rId10" Type="http://schemas.openxmlformats.org/officeDocument/2006/relationships/hyperlink" Target="https://assets.hcch.net/docs/eca03d40-29c6-4cc4-ae52-edad337b6b86.pdf" TargetMode="External"/><Relationship Id="rId4" Type="http://schemas.openxmlformats.org/officeDocument/2006/relationships/hyperlink" Target="https://www.hcch.net/en/instruments/conventions/specialised-sections/child-abduction" TargetMode="External"/><Relationship Id="rId9" Type="http://schemas.openxmlformats.org/officeDocument/2006/relationships/hyperlink" Target="https://assets.hcch.net/upload/expl34.pdf" TargetMode="External"/><Relationship Id="rId14" Type="http://schemas.openxmlformats.org/officeDocument/2006/relationships/hyperlink" Target="https://www.hcch.net/en/instruments/conventions/status-table/?c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64D4-C210-44BA-96E3-7C229D3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9106</Words>
  <Characters>51908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2017-06-26T14:47:00Z</dcterms:created>
  <dcterms:modified xsi:type="dcterms:W3CDTF">2017-06-26T14:59:00Z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