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5A" w:rsidRDefault="00A72F5A" w:rsidP="006F4F05">
      <w:pPr>
        <w:rPr>
          <w:b/>
        </w:rPr>
      </w:pPr>
    </w:p>
    <w:p w:rsidR="004222F1" w:rsidRDefault="00F45960">
      <w:pPr>
        <w:rPr>
          <w:b/>
        </w:rPr>
      </w:pPr>
      <w:r>
        <w:rPr>
          <w:b/>
        </w:rPr>
        <w:tab/>
      </w:r>
      <w:r>
        <w:rPr>
          <w:b/>
        </w:rPr>
        <w:tab/>
      </w:r>
      <w:r w:rsidR="005D59A7">
        <w:rPr>
          <w:b/>
        </w:rPr>
        <w:t xml:space="preserve">Can new doctors be </w:t>
      </w:r>
      <w:r w:rsidR="00204A9A">
        <w:rPr>
          <w:b/>
        </w:rPr>
        <w:t>prepared for practice</w:t>
      </w:r>
      <w:r w:rsidR="005D59A7">
        <w:rPr>
          <w:b/>
        </w:rPr>
        <w:t>?</w:t>
      </w:r>
      <w:r w:rsidR="00204A9A">
        <w:rPr>
          <w:b/>
        </w:rPr>
        <w:t xml:space="preserve"> A review</w:t>
      </w:r>
    </w:p>
    <w:p w:rsidR="00804A17" w:rsidRDefault="00804A17" w:rsidP="00804A17"/>
    <w:p w:rsidR="00B96712" w:rsidRDefault="00B96712" w:rsidP="00804A17">
      <w:r>
        <w:t>Anonymised for review</w:t>
      </w:r>
    </w:p>
    <w:p w:rsidR="00B96712" w:rsidRPr="0024696B" w:rsidRDefault="00B96712" w:rsidP="00804A17"/>
    <w:p w:rsidR="0086362C" w:rsidRPr="0086362C" w:rsidRDefault="009576B6" w:rsidP="009576B6">
      <w:pPr>
        <w:spacing w:line="360" w:lineRule="auto"/>
        <w:rPr>
          <w:b/>
          <w:u w:val="single"/>
        </w:rPr>
      </w:pPr>
      <w:r w:rsidRPr="0055515B">
        <w:rPr>
          <w:b/>
          <w:u w:val="single"/>
        </w:rPr>
        <w:t>Abstract</w:t>
      </w:r>
    </w:p>
    <w:p w:rsidR="009576B6" w:rsidRPr="0086362C" w:rsidRDefault="009576B6" w:rsidP="009576B6">
      <w:pPr>
        <w:spacing w:line="360" w:lineRule="auto"/>
        <w:rPr>
          <w:b/>
        </w:rPr>
      </w:pPr>
      <w:r w:rsidRPr="0086362C">
        <w:rPr>
          <w:b/>
        </w:rPr>
        <w:t>Background</w:t>
      </w:r>
    </w:p>
    <w:p w:rsidR="0086362C" w:rsidRPr="0086362C" w:rsidRDefault="009576B6" w:rsidP="009576B6">
      <w:pPr>
        <w:spacing w:line="360" w:lineRule="auto"/>
      </w:pPr>
      <w:r w:rsidRPr="0055515B">
        <w:t>The transition from medic</w:t>
      </w:r>
      <w:r w:rsidR="00A216C8" w:rsidRPr="0055515B">
        <w:t>al student to junior doctor is</w:t>
      </w:r>
      <w:r w:rsidRPr="0055515B">
        <w:t xml:space="preserve"> an important period of change.  Research shows junior doctors often experience high levels of stress, and consequently burnout. Understanding how to prepare for the transition may allow individuals likely to struggle to be identified and a</w:t>
      </w:r>
      <w:r w:rsidR="00A216C8" w:rsidRPr="0055515B">
        <w:t>ssisted.  The aim of this paper</w:t>
      </w:r>
      <w:r w:rsidRPr="0055515B">
        <w:t xml:space="preserve"> is to systematically review the literature </w:t>
      </w:r>
      <w:r w:rsidR="0086362C">
        <w:t>on preparedness for practice in</w:t>
      </w:r>
      <w:r w:rsidRPr="0055515B">
        <w:t xml:space="preserve"> newly qualified junior doctors.  </w:t>
      </w:r>
    </w:p>
    <w:p w:rsidR="009576B6" w:rsidRPr="0086362C" w:rsidRDefault="009576B6" w:rsidP="009576B6">
      <w:pPr>
        <w:spacing w:line="360" w:lineRule="auto"/>
        <w:rPr>
          <w:b/>
        </w:rPr>
      </w:pPr>
      <w:r w:rsidRPr="0086362C">
        <w:rPr>
          <w:b/>
        </w:rPr>
        <w:t>Methods</w:t>
      </w:r>
    </w:p>
    <w:p w:rsidR="0086362C" w:rsidRDefault="0086362C" w:rsidP="009576B6">
      <w:pPr>
        <w:spacing w:line="360" w:lineRule="auto"/>
      </w:pPr>
      <w:r>
        <w:t xml:space="preserve">This was a systematic review of literature concerning the transition from student to junior doctor, published in the last 10 years, and which measured or explored one or more factors affecting preparedness.  </w:t>
      </w:r>
    </w:p>
    <w:p w:rsidR="009576B6" w:rsidRPr="0086362C" w:rsidRDefault="009576B6" w:rsidP="009576B6">
      <w:pPr>
        <w:spacing w:line="360" w:lineRule="auto"/>
        <w:rPr>
          <w:b/>
        </w:rPr>
      </w:pPr>
      <w:r w:rsidRPr="0086362C">
        <w:rPr>
          <w:b/>
        </w:rPr>
        <w:t xml:space="preserve">Results </w:t>
      </w:r>
    </w:p>
    <w:p w:rsidR="009576B6" w:rsidRDefault="00364CB1" w:rsidP="009576B6">
      <w:pPr>
        <w:spacing w:line="360" w:lineRule="auto"/>
      </w:pPr>
      <w:r>
        <w:t>Nine</w:t>
      </w:r>
      <w:r w:rsidR="009576B6" w:rsidRPr="0055515B">
        <w:t xml:space="preserve"> papers were included in this review.  These varied in design and methodological quality.  </w:t>
      </w:r>
      <w:r w:rsidR="0086362C">
        <w:t xml:space="preserve">Most used survey methodology (n=7).  </w:t>
      </w:r>
      <w:r w:rsidR="009576B6" w:rsidRPr="0055515B">
        <w:t xml:space="preserve">Six found knowledge and skills, particularly deficiencies in prescribing and practical procedures, relevant in terms of preparedness.  Five looked at personal traits; high neuroticism and low confidence deemed to be important.  Medical school and workplace factors including early clinical experience and shadowing positively affected preparedness.  A lack of senior support proved </w:t>
      </w:r>
      <w:r w:rsidR="00574C95" w:rsidRPr="0055515B">
        <w:t>detrimental</w:t>
      </w:r>
      <w:r w:rsidR="009576B6" w:rsidRPr="0055515B">
        <w:t xml:space="preserve">.   </w:t>
      </w:r>
      <w:r w:rsidR="008C4A66" w:rsidRPr="0055515B">
        <w:t xml:space="preserve"> T</w:t>
      </w:r>
      <w:r w:rsidR="008C4A66">
        <w:t>he i</w:t>
      </w:r>
      <w:r w:rsidR="009576B6">
        <w:t>nflu</w:t>
      </w:r>
      <w:r w:rsidR="0086362C">
        <w:t>ence of demographics was inconclusive</w:t>
      </w:r>
      <w:r w:rsidR="009576B6">
        <w:t>.</w:t>
      </w:r>
    </w:p>
    <w:p w:rsidR="0086362C" w:rsidRPr="0029008E" w:rsidRDefault="004222F1" w:rsidP="0086362C">
      <w:pPr>
        <w:spacing w:line="360" w:lineRule="auto"/>
        <w:rPr>
          <w:b/>
        </w:rPr>
      </w:pPr>
      <w:r>
        <w:rPr>
          <w:b/>
        </w:rPr>
        <w:t>Discussion</w:t>
      </w:r>
    </w:p>
    <w:p w:rsidR="0086362C" w:rsidRDefault="0086362C" w:rsidP="0086362C">
      <w:pPr>
        <w:spacing w:line="360" w:lineRule="auto"/>
        <w:rPr>
          <w:lang w:val="en-US"/>
        </w:rPr>
      </w:pPr>
      <w:r>
        <w:t xml:space="preserve">The studies reviewed indicate that both personal and organisational factors are pertinent to managing the transition from student to junior doctor.  Further, prospective studies, both qualitative and quantitative, drawing on theories of change, are required to identify what precise factors would make a difference to this transition.   </w:t>
      </w:r>
    </w:p>
    <w:p w:rsidR="00395CE0" w:rsidRPr="002354EB" w:rsidRDefault="002354EB" w:rsidP="00FB47CB">
      <w:pPr>
        <w:spacing w:line="360" w:lineRule="auto"/>
        <w:rPr>
          <w:b/>
        </w:rPr>
      </w:pPr>
      <w:r>
        <w:rPr>
          <w:b/>
        </w:rPr>
        <w:lastRenderedPageBreak/>
        <w:t>Background</w:t>
      </w:r>
    </w:p>
    <w:p w:rsidR="001C7D82" w:rsidRDefault="001C7D82" w:rsidP="001C7D82">
      <w:pPr>
        <w:spacing w:line="360" w:lineRule="auto"/>
        <w:jc w:val="center"/>
        <w:rPr>
          <w:i/>
        </w:rPr>
      </w:pPr>
      <w:r w:rsidRPr="00F671C3">
        <w:rPr>
          <w:i/>
        </w:rPr>
        <w:t>“</w:t>
      </w:r>
      <w:r>
        <w:rPr>
          <w:i/>
        </w:rPr>
        <w:t>It is not the strongest of the species that survives, nor is it the most intelligent that survives.  It is the one that is most adaptable to change.”</w:t>
      </w:r>
    </w:p>
    <w:p w:rsidR="001C7D82" w:rsidRDefault="001C7D82" w:rsidP="001C7D82">
      <w:pPr>
        <w:spacing w:line="360" w:lineRule="auto"/>
        <w:jc w:val="right"/>
        <w:rPr>
          <w:i/>
        </w:rPr>
      </w:pPr>
      <w:r>
        <w:rPr>
          <w:i/>
        </w:rPr>
        <w:t>Charles Darwin, the Origin of Species</w:t>
      </w:r>
    </w:p>
    <w:p w:rsidR="00395CE0" w:rsidRDefault="001C7D82" w:rsidP="0030579F">
      <w:pPr>
        <w:spacing w:line="360" w:lineRule="auto"/>
      </w:pPr>
      <w:r>
        <w:t>Transitions are periods of development during which individuals must adapt to n</w:t>
      </w:r>
      <w:r w:rsidR="008777C8">
        <w:t>ew environments or situations [1</w:t>
      </w:r>
      <w:r>
        <w:t>].  Several important transitions</w:t>
      </w:r>
      <w:r w:rsidR="00395CE0">
        <w:t xml:space="preserve"> have been identified</w:t>
      </w:r>
      <w:r>
        <w:t xml:space="preserve"> in medical careers:</w:t>
      </w:r>
      <w:r w:rsidR="00395CE0">
        <w:t xml:space="preserve"> from non-clinical to clinical teaching</w:t>
      </w:r>
      <w:r>
        <w:t>,</w:t>
      </w:r>
      <w:r w:rsidR="00395CE0">
        <w:t xml:space="preserve"> from student to doctor and</w:t>
      </w:r>
      <w:r w:rsidR="0055515B">
        <w:t>,</w:t>
      </w:r>
      <w:r w:rsidR="00395CE0">
        <w:t xml:space="preserve"> thereafter, </w:t>
      </w:r>
      <w:r w:rsidR="0055515B">
        <w:t xml:space="preserve">in relation to </w:t>
      </w:r>
      <w:r w:rsidR="00395CE0">
        <w:t>the progress</w:t>
      </w:r>
      <w:r w:rsidR="009C6DD5">
        <w:t>ion between grades of practice [</w:t>
      </w:r>
      <w:r w:rsidR="008777C8">
        <w:t>2-4</w:t>
      </w:r>
      <w:r w:rsidR="009C6DD5">
        <w:t>]</w:t>
      </w:r>
      <w:r w:rsidR="00395CE0">
        <w:t xml:space="preserve">.  </w:t>
      </w:r>
    </w:p>
    <w:p w:rsidR="001C7D82" w:rsidRDefault="00395CE0" w:rsidP="00FB47CB">
      <w:pPr>
        <w:spacing w:line="360" w:lineRule="auto"/>
      </w:pPr>
      <w:r>
        <w:t xml:space="preserve">While the process of learning </w:t>
      </w:r>
      <w:r w:rsidR="0055515B">
        <w:t xml:space="preserve">to be a doctor </w:t>
      </w:r>
      <w:r>
        <w:t>continues far beyond graduation, the</w:t>
      </w:r>
      <w:r w:rsidR="00D571B4">
        <w:t>re is an</w:t>
      </w:r>
      <w:r w:rsidR="00791275">
        <w:t xml:space="preserve"> expectation </w:t>
      </w:r>
      <w:r>
        <w:t>that new doctors will perform adequately clinically, integrate in</w:t>
      </w:r>
      <w:r w:rsidR="00D571B4">
        <w:t>to a</w:t>
      </w:r>
      <w:r>
        <w:t xml:space="preserve"> clinical team and take full res</w:t>
      </w:r>
      <w:r w:rsidR="009C6DD5">
        <w:t>ponsibility for their actions [</w:t>
      </w:r>
      <w:r w:rsidR="002A1EC0">
        <w:t>5</w:t>
      </w:r>
      <w:r w:rsidR="009C6DD5">
        <w:t>]</w:t>
      </w:r>
      <w:r>
        <w:t xml:space="preserve">.  </w:t>
      </w:r>
      <w:r w:rsidR="001C7D82">
        <w:t>However, t</w:t>
      </w:r>
      <w:r>
        <w:t>he move from observation to practice is often plagued with difficulty and new doctors report high levels of stress</w:t>
      </w:r>
      <w:r w:rsidR="001C7D82">
        <w:t xml:space="preserve"> and burnout</w:t>
      </w:r>
      <w:r w:rsidR="009C6DD5">
        <w:t xml:space="preserve"> [1]</w:t>
      </w:r>
      <w:r>
        <w:t xml:space="preserve">.  Graduates </w:t>
      </w:r>
      <w:r w:rsidR="0055515B">
        <w:t xml:space="preserve">also </w:t>
      </w:r>
      <w:r>
        <w:t xml:space="preserve">feel under-prepared and exposed </w:t>
      </w:r>
      <w:r w:rsidR="000C2D9A">
        <w:t xml:space="preserve">on </w:t>
      </w:r>
      <w:r w:rsidR="001C7D82">
        <w:t>entering the workplace</w:t>
      </w:r>
      <w:r w:rsidR="009D4310">
        <w:t xml:space="preserve"> </w:t>
      </w:r>
      <w:r w:rsidR="009C6DD5">
        <w:t>[</w:t>
      </w:r>
      <w:r w:rsidR="008777C8">
        <w:t>4</w:t>
      </w:r>
      <w:r w:rsidR="002A1EC0">
        <w:t>,</w:t>
      </w:r>
      <w:r w:rsidR="009D4310">
        <w:t xml:space="preserve"> </w:t>
      </w:r>
      <w:r w:rsidR="002A1EC0">
        <w:t>6</w:t>
      </w:r>
      <w:r w:rsidR="009C6DD5">
        <w:t>]</w:t>
      </w:r>
      <w:r>
        <w:t xml:space="preserve">.  </w:t>
      </w:r>
    </w:p>
    <w:p w:rsidR="00E8010C" w:rsidRDefault="001C7D82" w:rsidP="001C7D82">
      <w:pPr>
        <w:spacing w:line="360" w:lineRule="auto"/>
      </w:pPr>
      <w:r>
        <w:t>P</w:t>
      </w:r>
      <w:r w:rsidR="00252B49">
        <w:t>reparedness for practice traditionally focus</w:t>
      </w:r>
      <w:r>
        <w:t>es</w:t>
      </w:r>
      <w:r w:rsidR="00252B49">
        <w:t xml:space="preserve"> on basic knowledge and skills</w:t>
      </w:r>
      <w:r>
        <w:t>, but it is clear that other fact</w:t>
      </w:r>
      <w:r w:rsidR="0029008E">
        <w:t>ors are also influential including those associated with the</w:t>
      </w:r>
      <w:r>
        <w:t xml:space="preserve"> </w:t>
      </w:r>
      <w:r w:rsidR="00252B49">
        <w:t>medical school (e</w:t>
      </w:r>
      <w:r>
        <w:t>.</w:t>
      </w:r>
      <w:r w:rsidR="00252B49">
        <w:t>g</w:t>
      </w:r>
      <w:r w:rsidR="00791275">
        <w:t>., curricula</w:t>
      </w:r>
      <w:r w:rsidR="00252B49">
        <w:t>)</w:t>
      </w:r>
      <w:r w:rsidR="0029008E">
        <w:t xml:space="preserve"> and workplace (e.g., organisational </w:t>
      </w:r>
      <w:r w:rsidR="00791275">
        <w:t>support</w:t>
      </w:r>
      <w:r w:rsidR="00E8010C">
        <w:t>)</w:t>
      </w:r>
      <w:r w:rsidR="00252B49">
        <w:t xml:space="preserve">.  </w:t>
      </w:r>
      <w:r w:rsidR="00E8010C">
        <w:t xml:space="preserve">Adapting to any transition also depends on individual variables such as how one manages responsibility and </w:t>
      </w:r>
      <w:r w:rsidR="00C1415E">
        <w:t>change. I</w:t>
      </w:r>
      <w:r w:rsidR="00847061">
        <w:t>t is not clear</w:t>
      </w:r>
      <w:r w:rsidR="00C1415E">
        <w:t xml:space="preserve"> how difficulties </w:t>
      </w:r>
      <w:r w:rsidR="00883C2E">
        <w:t>in these</w:t>
      </w:r>
      <w:r w:rsidR="00C1415E">
        <w:t xml:space="preserve"> areas</w:t>
      </w:r>
      <w:r w:rsidR="00883C2E">
        <w:t xml:space="preserve"> found</w:t>
      </w:r>
      <w:r w:rsidR="00C1415E">
        <w:t xml:space="preserve"> </w:t>
      </w:r>
      <w:r w:rsidR="00883C2E">
        <w:t>in</w:t>
      </w:r>
      <w:r w:rsidR="00C1415E">
        <w:t xml:space="preserve"> final year medical students</w:t>
      </w:r>
      <w:r w:rsidR="001E2199">
        <w:t xml:space="preserve"> affects their</w:t>
      </w:r>
      <w:r w:rsidR="00C1415E">
        <w:t xml:space="preserve"> future as junior doctors [</w:t>
      </w:r>
      <w:r w:rsidR="00847552">
        <w:t>7</w:t>
      </w:r>
      <w:r w:rsidR="00C1415E">
        <w:t>]</w:t>
      </w:r>
    </w:p>
    <w:p w:rsidR="00F51AD1" w:rsidRPr="00E8010C" w:rsidRDefault="00844FDF" w:rsidP="001C7D82">
      <w:pPr>
        <w:spacing w:line="360" w:lineRule="auto"/>
      </w:pPr>
      <w:r>
        <w:t>A greater understanding of how to prepare</w:t>
      </w:r>
      <w:r w:rsidR="001E0DC3">
        <w:t xml:space="preserve"> students</w:t>
      </w:r>
      <w:r>
        <w:t xml:space="preserve"> for life as a </w:t>
      </w:r>
      <w:r w:rsidR="003D78DB">
        <w:t xml:space="preserve">new </w:t>
      </w:r>
      <w:r>
        <w:t xml:space="preserve">junior doctor may </w:t>
      </w:r>
      <w:r w:rsidR="0055515B">
        <w:t xml:space="preserve">enable interventions to be designed to provide individual and organisational support for the transition.  At the individual level, it may be possible to identify </w:t>
      </w:r>
      <w:r>
        <w:t xml:space="preserve">those who are likely to struggle </w:t>
      </w:r>
      <w:r w:rsidR="0055515B">
        <w:t xml:space="preserve">so they can be </w:t>
      </w:r>
      <w:r>
        <w:t xml:space="preserve">assisted </w:t>
      </w:r>
      <w:r w:rsidR="001C7D82">
        <w:t xml:space="preserve">proactively rather than supported after lack of preparedness </w:t>
      </w:r>
      <w:r>
        <w:t>impacts on</w:t>
      </w:r>
      <w:r w:rsidR="00E74EF0">
        <w:t xml:space="preserve"> t</w:t>
      </w:r>
      <w:r w:rsidR="008777C8">
        <w:t>heir working and personal lives</w:t>
      </w:r>
      <w:r w:rsidR="0055515B">
        <w:t>.</w:t>
      </w:r>
      <w:r w:rsidR="005D59A7">
        <w:t xml:space="preserve"> </w:t>
      </w:r>
      <w:r w:rsidR="00CB5C2C">
        <w:t>A</w:t>
      </w:r>
      <w:r w:rsidR="0055515B">
        <w:t>t an organizational level,</w:t>
      </w:r>
      <w:r w:rsidR="003D78DB">
        <w:t xml:space="preserve"> mandatory induction programs</w:t>
      </w:r>
      <w:r w:rsidR="00CB5C2C">
        <w:t xml:space="preserve"> may be of benefit. Formalised</w:t>
      </w:r>
      <w:r w:rsidR="003D78DB">
        <w:t xml:space="preserve"> support</w:t>
      </w:r>
      <w:r w:rsidR="00CB5C2C">
        <w:t xml:space="preserve"> should continue</w:t>
      </w:r>
      <w:r w:rsidR="003D78DB">
        <w:t xml:space="preserve"> </w:t>
      </w:r>
      <w:r w:rsidR="00CB5C2C">
        <w:t>beyond the initial transition.</w:t>
      </w:r>
      <w:r>
        <w:t xml:space="preserve">  </w:t>
      </w:r>
      <w:r w:rsidR="00E824C0">
        <w:t>To gain insight into the nature of this</w:t>
      </w:r>
      <w:r w:rsidR="00CB5C2C">
        <w:t xml:space="preserve"> difficult</w:t>
      </w:r>
      <w:r w:rsidR="00E824C0">
        <w:t xml:space="preserve"> transition</w:t>
      </w:r>
      <w:r w:rsidR="00CB5C2C">
        <w:t xml:space="preserve"> and explore where support may be helpful</w:t>
      </w:r>
      <w:r w:rsidR="00E824C0">
        <w:t xml:space="preserve"> , we</w:t>
      </w:r>
      <w:r w:rsidR="00F51AD1">
        <w:t xml:space="preserve"> systematically </w:t>
      </w:r>
      <w:r w:rsidR="00791275">
        <w:t>review</w:t>
      </w:r>
      <w:r w:rsidR="00E824C0">
        <w:t>ed</w:t>
      </w:r>
      <w:r w:rsidR="00F51AD1">
        <w:t xml:space="preserve"> the literature </w:t>
      </w:r>
      <w:r w:rsidR="00791275">
        <w:t>on</w:t>
      </w:r>
      <w:r w:rsidR="00F51AD1">
        <w:t xml:space="preserve"> preparedness for pr</w:t>
      </w:r>
      <w:r w:rsidR="00AA2393">
        <w:t>actice in newly-qualified</w:t>
      </w:r>
      <w:r w:rsidR="00F51AD1">
        <w:t xml:space="preserve"> doctors.  </w:t>
      </w:r>
    </w:p>
    <w:p w:rsidR="00395CE0" w:rsidRPr="002354EB" w:rsidRDefault="00DF621C" w:rsidP="00FB47CB">
      <w:pPr>
        <w:spacing w:line="360" w:lineRule="auto"/>
        <w:rPr>
          <w:b/>
        </w:rPr>
      </w:pPr>
      <w:r>
        <w:rPr>
          <w:b/>
        </w:rPr>
        <w:br w:type="page"/>
      </w:r>
      <w:r w:rsidR="00395CE0" w:rsidRPr="002354EB">
        <w:rPr>
          <w:b/>
        </w:rPr>
        <w:lastRenderedPageBreak/>
        <w:t>Methods</w:t>
      </w:r>
    </w:p>
    <w:p w:rsidR="00BB6330" w:rsidRDefault="001C7D82" w:rsidP="00FB47CB">
      <w:pPr>
        <w:spacing w:line="360" w:lineRule="auto"/>
      </w:pPr>
      <w:r>
        <w:t>We</w:t>
      </w:r>
      <w:r w:rsidR="00395CE0">
        <w:t xml:space="preserve"> searched MEDLINE and Scopus for relevant literature concerning the transition </w:t>
      </w:r>
      <w:r w:rsidR="00A1448E">
        <w:t>from</w:t>
      </w:r>
      <w:r w:rsidR="00395CE0">
        <w:t xml:space="preserve"> student </w:t>
      </w:r>
      <w:r w:rsidR="00A1448E">
        <w:t>to</w:t>
      </w:r>
      <w:r w:rsidR="00395CE0">
        <w:t xml:space="preserve"> junior doctor</w:t>
      </w:r>
      <w:r w:rsidR="002354EB">
        <w:t xml:space="preserve">, </w:t>
      </w:r>
      <w:r w:rsidR="0001660B">
        <w:t>published in the last 10 years (given medical education has undergone significan</w:t>
      </w:r>
      <w:r w:rsidR="008777C8">
        <w:t xml:space="preserve">t change in recent years </w:t>
      </w:r>
      <w:r w:rsidR="00865689">
        <w:t>[</w:t>
      </w:r>
      <w:r w:rsidR="008777C8">
        <w:t xml:space="preserve">e.g., </w:t>
      </w:r>
      <w:r w:rsidR="00666D0F">
        <w:t>8</w:t>
      </w:r>
      <w:r w:rsidR="00865689">
        <w:t>]</w:t>
      </w:r>
      <w:r w:rsidR="008777C8">
        <w:t>)</w:t>
      </w:r>
      <w:r w:rsidR="002354EB">
        <w:t>,</w:t>
      </w:r>
      <w:r w:rsidR="0001660B">
        <w:t xml:space="preserve"> </w:t>
      </w:r>
      <w:r w:rsidR="00CF258E">
        <w:t xml:space="preserve">and </w:t>
      </w:r>
      <w:r w:rsidR="0001660B">
        <w:t>which measured one or more factors affecting preparedness.</w:t>
      </w:r>
      <w:r w:rsidR="006F4F05">
        <w:t xml:space="preserve">  Search strategy and terms are detailed in table 1.</w:t>
      </w:r>
      <w:r w:rsidR="0001660B">
        <w:t xml:space="preserve">  W</w:t>
      </w:r>
      <w:r w:rsidR="00395CE0">
        <w:t xml:space="preserve">e </w:t>
      </w:r>
      <w:r w:rsidR="0001660B">
        <w:t xml:space="preserve">also hand searched the reference lists of identified articles. </w:t>
      </w:r>
      <w:r w:rsidR="00395CE0">
        <w:t xml:space="preserve"> </w:t>
      </w:r>
      <w:r w:rsidR="000E57A2">
        <w:t>A</w:t>
      </w:r>
      <w:r w:rsidR="00BB6330">
        <w:t xml:space="preserve">rticles which looked at the implementation of preparatory courses or intervention programs </w:t>
      </w:r>
      <w:r w:rsidR="000E57A2">
        <w:t>were excluded</w:t>
      </w:r>
      <w:r w:rsidR="00CF258E">
        <w:t xml:space="preserve"> as our question focused on identifying general messages not evaluating interventions to address identified difficulties in local contexts</w:t>
      </w:r>
      <w:r w:rsidR="00BB6330">
        <w:t>.  See Figure 1 for an overview of the search strategy.</w:t>
      </w:r>
    </w:p>
    <w:p w:rsidR="00865689" w:rsidRDefault="00BB6330" w:rsidP="00BB6330">
      <w:pPr>
        <w:spacing w:line="360" w:lineRule="auto"/>
      </w:pPr>
      <w:r>
        <w:t>I</w:t>
      </w:r>
      <w:r w:rsidR="00395CE0">
        <w:t xml:space="preserve">t </w:t>
      </w:r>
      <w:r w:rsidR="00B400B0">
        <w:t>is difficult to appraise</w:t>
      </w:r>
      <w:r w:rsidR="00395CE0">
        <w:t xml:space="preserve">, in a uniform manner, the quality and results of </w:t>
      </w:r>
      <w:r w:rsidR="00B400B0">
        <w:t>studies</w:t>
      </w:r>
      <w:r>
        <w:t xml:space="preserve"> using different methodologies and different outcome measures</w:t>
      </w:r>
      <w:r w:rsidR="00395CE0">
        <w:t>.  T</w:t>
      </w:r>
      <w:r>
        <w:t>hus, t</w:t>
      </w:r>
      <w:r w:rsidR="00395CE0">
        <w:t xml:space="preserve">o provide a framework for </w:t>
      </w:r>
      <w:r>
        <w:t>review</w:t>
      </w:r>
      <w:r w:rsidR="00395CE0">
        <w:t xml:space="preserve">, we </w:t>
      </w:r>
      <w:r>
        <w:t>adapted</w:t>
      </w:r>
      <w:r w:rsidR="00395CE0">
        <w:t xml:space="preserve"> the TREND (Transparent Reporting of Evaluations with Nonrandomised Designs) and CASP (Critical Appraisal Skills Program) checklists to produce </w:t>
      </w:r>
      <w:r w:rsidR="000E57A2">
        <w:t>a</w:t>
      </w:r>
      <w:r>
        <w:t xml:space="preserve"> data collection tool (available on request from the authors)</w:t>
      </w:r>
      <w:r w:rsidR="009C6DD5">
        <w:t xml:space="preserve"> [</w:t>
      </w:r>
      <w:r w:rsidR="00666D0F">
        <w:t>9, 10</w:t>
      </w:r>
      <w:r w:rsidR="009C6DD5">
        <w:t>]</w:t>
      </w:r>
      <w:r w:rsidR="00395CE0">
        <w:t xml:space="preserve">.  </w:t>
      </w:r>
    </w:p>
    <w:p w:rsidR="0043234F" w:rsidRDefault="00A673D2" w:rsidP="0043234F">
      <w:pPr>
        <w:spacing w:line="360" w:lineRule="auto"/>
      </w:pPr>
      <w:r w:rsidRPr="00A673D2">
        <w:t>Each paper was</w:t>
      </w:r>
      <w:r w:rsidRPr="00A673D2">
        <w:rPr>
          <w:u w:val="single"/>
        </w:rPr>
        <w:t xml:space="preserve"> </w:t>
      </w:r>
      <w:r w:rsidRPr="00A673D2">
        <w:t>critically appraised independently by two authors then discussed by the group.  We were aware that our conclusions could have been influenced by our individual experiences of being medical students</w:t>
      </w:r>
      <w:r w:rsidR="00BF50E3">
        <w:t xml:space="preserve">. This change is </w:t>
      </w:r>
      <w:r w:rsidR="00E8589B">
        <w:t>particularly</w:t>
      </w:r>
      <w:r w:rsidR="00BF50E3">
        <w:t xml:space="preserve"> pertinent to us </w:t>
      </w:r>
      <w:r w:rsidR="00E8589B">
        <w:t xml:space="preserve">and we critically reflected on this via interact discussion.  </w:t>
      </w:r>
      <w:r w:rsidRPr="00A673D2">
        <w:t xml:space="preserve"> </w:t>
      </w:r>
    </w:p>
    <w:p w:rsidR="00AA2393" w:rsidRDefault="00E31CF7" w:rsidP="00AA2393">
      <w:pPr>
        <w:spacing w:line="360" w:lineRule="auto"/>
      </w:pPr>
      <w:r>
        <w:t>As this was a secondary analysis of previously published data, ethical permission was not required for this study.</w:t>
      </w:r>
      <w:r w:rsidR="00AA2393">
        <w:t xml:space="preserve">  </w:t>
      </w:r>
    </w:p>
    <w:p w:rsidR="00E31CF7" w:rsidRDefault="00AA2393" w:rsidP="0043234F">
      <w:pPr>
        <w:spacing w:line="360" w:lineRule="auto"/>
      </w:pPr>
      <w:r>
        <w:t>Note that we use the generic terms junior or new doctor to describe the population under study.</w:t>
      </w:r>
    </w:p>
    <w:p w:rsidR="006F4F05" w:rsidRDefault="006F4F05" w:rsidP="0043234F">
      <w:pPr>
        <w:spacing w:line="360" w:lineRule="auto"/>
      </w:pPr>
    </w:p>
    <w:p w:rsidR="006F4F05" w:rsidRDefault="006F4F05" w:rsidP="0043234F">
      <w:pPr>
        <w:spacing w:line="360" w:lineRule="auto"/>
      </w:pPr>
    </w:p>
    <w:p w:rsidR="006F4F05" w:rsidRDefault="006F4F05" w:rsidP="0043234F">
      <w:pPr>
        <w:spacing w:line="360" w:lineRule="auto"/>
      </w:pPr>
    </w:p>
    <w:p w:rsidR="006F4F05" w:rsidRDefault="006F4F05" w:rsidP="0043234F">
      <w:pPr>
        <w:spacing w:line="360" w:lineRule="auto"/>
      </w:pPr>
    </w:p>
    <w:p w:rsidR="006F4F05" w:rsidRDefault="006F4F05" w:rsidP="0043234F">
      <w:pPr>
        <w:spacing w:line="360" w:lineRule="auto"/>
      </w:pPr>
    </w:p>
    <w:p w:rsidR="003F6061" w:rsidRDefault="003F6061" w:rsidP="0043234F">
      <w:pPr>
        <w:spacing w:line="360" w:lineRule="auto"/>
      </w:pPr>
    </w:p>
    <w:p w:rsidR="003F6061" w:rsidRDefault="003F6061" w:rsidP="0043234F">
      <w:pPr>
        <w:spacing w:line="360" w:lineRule="auto"/>
      </w:pPr>
    </w:p>
    <w:tbl>
      <w:tblPr>
        <w:tblStyle w:val="TableGrid"/>
        <w:tblW w:w="0" w:type="auto"/>
        <w:tblLook w:val="04A0"/>
      </w:tblPr>
      <w:tblGrid>
        <w:gridCol w:w="4925"/>
        <w:gridCol w:w="1619"/>
        <w:gridCol w:w="1428"/>
      </w:tblGrid>
      <w:tr w:rsidR="006F4F05" w:rsidRPr="009B7510" w:rsidTr="0097413C">
        <w:tc>
          <w:tcPr>
            <w:tcW w:w="4925" w:type="dxa"/>
          </w:tcPr>
          <w:p w:rsidR="006F4F05" w:rsidRPr="009B7510" w:rsidRDefault="006F4F05" w:rsidP="006F4F05">
            <w:pPr>
              <w:spacing w:line="240" w:lineRule="auto"/>
              <w:rPr>
                <w:rFonts w:asciiTheme="minorHAnsi" w:hAnsiTheme="minorHAnsi"/>
                <w:b/>
              </w:rPr>
            </w:pPr>
          </w:p>
        </w:tc>
        <w:tc>
          <w:tcPr>
            <w:tcW w:w="1619" w:type="dxa"/>
          </w:tcPr>
          <w:p w:rsidR="006F4F05" w:rsidRPr="009B7510" w:rsidRDefault="006F4F05" w:rsidP="006F4F05">
            <w:pPr>
              <w:spacing w:line="240" w:lineRule="auto"/>
              <w:rPr>
                <w:rFonts w:asciiTheme="minorHAnsi" w:hAnsiTheme="minorHAnsi"/>
              </w:rPr>
            </w:pPr>
            <w:r w:rsidRPr="009B7510">
              <w:rPr>
                <w:rFonts w:asciiTheme="minorHAnsi" w:hAnsiTheme="minorHAnsi"/>
              </w:rPr>
              <w:t>Medline Hits</w:t>
            </w:r>
          </w:p>
        </w:tc>
        <w:tc>
          <w:tcPr>
            <w:tcW w:w="1428" w:type="dxa"/>
          </w:tcPr>
          <w:p w:rsidR="006F4F05" w:rsidRPr="009B7510" w:rsidRDefault="006F4F05" w:rsidP="006F4F05">
            <w:pPr>
              <w:spacing w:line="240" w:lineRule="auto"/>
              <w:rPr>
                <w:rFonts w:asciiTheme="minorHAnsi" w:hAnsiTheme="minorHAnsi"/>
              </w:rPr>
            </w:pPr>
            <w:r w:rsidRPr="009B7510">
              <w:rPr>
                <w:rFonts w:asciiTheme="minorHAnsi" w:hAnsiTheme="minorHAnsi"/>
              </w:rPr>
              <w:t>Scopus Hits*</w:t>
            </w:r>
          </w:p>
        </w:tc>
      </w:tr>
      <w:tr w:rsidR="006F4F05" w:rsidRPr="009B7510" w:rsidTr="0097413C">
        <w:trPr>
          <w:trHeight w:val="323"/>
        </w:trPr>
        <w:tc>
          <w:tcPr>
            <w:tcW w:w="4925" w:type="dxa"/>
          </w:tcPr>
          <w:p w:rsidR="006F4F05" w:rsidRPr="006F4F05" w:rsidRDefault="006F4F05" w:rsidP="006F4F05">
            <w:pPr>
              <w:pStyle w:val="ListParagraph"/>
              <w:numPr>
                <w:ilvl w:val="0"/>
                <w:numId w:val="16"/>
              </w:numPr>
              <w:spacing w:after="0" w:line="240" w:lineRule="auto"/>
              <w:rPr>
                <w:rFonts w:asciiTheme="minorHAnsi" w:hAnsiTheme="minorHAnsi"/>
              </w:rPr>
            </w:pPr>
            <w:r w:rsidRPr="009B7510">
              <w:rPr>
                <w:rFonts w:asciiTheme="minorHAnsi" w:hAnsiTheme="minorHAnsi"/>
              </w:rPr>
              <w:t>teaching.mp</w:t>
            </w:r>
            <w:r w:rsidRPr="006F4F05">
              <w:rPr>
                <w:rFonts w:asciiTheme="minorHAnsi" w:hAnsiTheme="minorHAnsi"/>
              </w:rPr>
              <w:tab/>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65, 678</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148, 894</w:t>
            </w:r>
          </w:p>
        </w:tc>
      </w:tr>
      <w:tr w:rsidR="006F4F05" w:rsidRPr="009B7510" w:rsidTr="0097413C">
        <w:tc>
          <w:tcPr>
            <w:tcW w:w="4925" w:type="dxa"/>
          </w:tcPr>
          <w:p w:rsidR="006F4F05" w:rsidRPr="006F4F05" w:rsidRDefault="006F4F05" w:rsidP="006F4F05">
            <w:pPr>
              <w:pStyle w:val="ListParagraph"/>
              <w:numPr>
                <w:ilvl w:val="0"/>
                <w:numId w:val="16"/>
              </w:numPr>
              <w:spacing w:after="0" w:line="240" w:lineRule="auto"/>
              <w:rPr>
                <w:rFonts w:asciiTheme="minorHAnsi" w:hAnsiTheme="minorHAnsi"/>
              </w:rPr>
            </w:pPr>
            <w:r w:rsidRPr="009B7510">
              <w:rPr>
                <w:rFonts w:asciiTheme="minorHAnsi" w:hAnsiTheme="minorHAnsi"/>
              </w:rPr>
              <w:t>education.mp</w:t>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267, 952</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554, 685</w:t>
            </w:r>
          </w:p>
        </w:tc>
      </w:tr>
      <w:tr w:rsidR="006F4F05" w:rsidRPr="009B7510" w:rsidTr="0097413C">
        <w:tc>
          <w:tcPr>
            <w:tcW w:w="4925" w:type="dxa"/>
          </w:tcPr>
          <w:p w:rsidR="006F4F05" w:rsidRPr="006F4F05" w:rsidRDefault="006F4F05" w:rsidP="006F4F05">
            <w:pPr>
              <w:pStyle w:val="ListParagraph"/>
              <w:numPr>
                <w:ilvl w:val="0"/>
                <w:numId w:val="16"/>
              </w:numPr>
              <w:spacing w:after="0" w:line="240" w:lineRule="auto"/>
              <w:rPr>
                <w:rFonts w:asciiTheme="minorHAnsi" w:hAnsiTheme="minorHAnsi"/>
              </w:rPr>
            </w:pPr>
            <w:r w:rsidRPr="009B7510">
              <w:rPr>
                <w:rFonts w:asciiTheme="minorHAnsi" w:hAnsiTheme="minorHAnsi"/>
              </w:rPr>
              <w:t>medical education</w:t>
            </w:r>
            <w:r w:rsidRPr="006F4F05">
              <w:rPr>
                <w:rFonts w:asciiTheme="minorHAnsi" w:hAnsiTheme="minorHAnsi"/>
              </w:rPr>
              <w:tab/>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12, 135</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168, 026</w:t>
            </w:r>
          </w:p>
        </w:tc>
      </w:tr>
      <w:tr w:rsidR="006F4F05" w:rsidRPr="009B7510" w:rsidTr="0097413C">
        <w:tc>
          <w:tcPr>
            <w:tcW w:w="4925" w:type="dxa"/>
          </w:tcPr>
          <w:p w:rsidR="006F4F05" w:rsidRPr="006F4F05" w:rsidRDefault="006F4F05" w:rsidP="006F4F05">
            <w:pPr>
              <w:pStyle w:val="ListParagraph"/>
              <w:numPr>
                <w:ilvl w:val="0"/>
                <w:numId w:val="16"/>
              </w:numPr>
              <w:spacing w:after="0" w:line="240" w:lineRule="auto"/>
              <w:rPr>
                <w:rFonts w:asciiTheme="minorHAnsi" w:hAnsiTheme="minorHAnsi"/>
              </w:rPr>
            </w:pPr>
            <w:r w:rsidRPr="009B7510">
              <w:rPr>
                <w:rFonts w:asciiTheme="minorHAnsi" w:hAnsiTheme="minorHAnsi"/>
              </w:rPr>
              <w:t>medical undergraduate students</w:t>
            </w:r>
            <w:r w:rsidRPr="009B7510">
              <w:rPr>
                <w:rFonts w:asciiTheme="minorHAnsi" w:hAnsiTheme="minorHAnsi"/>
              </w:rPr>
              <w:tab/>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25</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8, 088</w:t>
            </w:r>
          </w:p>
        </w:tc>
      </w:tr>
      <w:tr w:rsidR="006F4F05" w:rsidRPr="009B7510" w:rsidTr="0097413C">
        <w:tc>
          <w:tcPr>
            <w:tcW w:w="4925" w:type="dxa"/>
          </w:tcPr>
          <w:p w:rsidR="006F4F05" w:rsidRPr="006F4F05" w:rsidRDefault="006F4F05" w:rsidP="006F4F05">
            <w:pPr>
              <w:pStyle w:val="ListParagraph"/>
              <w:numPr>
                <w:ilvl w:val="0"/>
                <w:numId w:val="16"/>
              </w:numPr>
              <w:spacing w:after="0" w:line="240" w:lineRule="auto"/>
              <w:rPr>
                <w:rFonts w:asciiTheme="minorHAnsi" w:hAnsiTheme="minorHAnsi"/>
              </w:rPr>
            </w:pPr>
            <w:r w:rsidRPr="009B7510">
              <w:rPr>
                <w:rFonts w:asciiTheme="minorHAnsi" w:hAnsiTheme="minorHAnsi"/>
              </w:rPr>
              <w:t>medical teaching</w:t>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443</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32, 521</w:t>
            </w:r>
          </w:p>
        </w:tc>
      </w:tr>
      <w:tr w:rsidR="006F4F05" w:rsidRPr="009B7510" w:rsidTr="0097413C">
        <w:tc>
          <w:tcPr>
            <w:tcW w:w="4925" w:type="dxa"/>
          </w:tcPr>
          <w:p w:rsidR="006F4F05" w:rsidRPr="006F4F05" w:rsidRDefault="006F4F05" w:rsidP="006F4F05">
            <w:pPr>
              <w:pStyle w:val="ListParagraph"/>
              <w:numPr>
                <w:ilvl w:val="0"/>
                <w:numId w:val="16"/>
              </w:numPr>
              <w:spacing w:after="0" w:line="240" w:lineRule="auto"/>
              <w:rPr>
                <w:rFonts w:asciiTheme="minorHAnsi" w:hAnsiTheme="minorHAnsi"/>
              </w:rPr>
            </w:pPr>
            <w:bookmarkStart w:id="0" w:name="_GoBack"/>
            <w:bookmarkEnd w:id="0"/>
            <w:r w:rsidRPr="009B7510">
              <w:rPr>
                <w:rFonts w:asciiTheme="minorHAnsi" w:hAnsiTheme="minorHAnsi"/>
              </w:rPr>
              <w:t>transition.tw</w:t>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19, 923</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527, 470</w:t>
            </w:r>
          </w:p>
        </w:tc>
      </w:tr>
      <w:tr w:rsidR="006F4F05" w:rsidRPr="009B7510" w:rsidTr="0097413C">
        <w:tc>
          <w:tcPr>
            <w:tcW w:w="4925" w:type="dxa"/>
          </w:tcPr>
          <w:p w:rsidR="006F4F05" w:rsidRPr="006F4F05" w:rsidRDefault="006F4F05" w:rsidP="006F4F05">
            <w:pPr>
              <w:pStyle w:val="ListParagraph"/>
              <w:numPr>
                <w:ilvl w:val="0"/>
                <w:numId w:val="16"/>
              </w:numPr>
              <w:spacing w:after="0" w:line="240" w:lineRule="auto"/>
              <w:rPr>
                <w:rFonts w:asciiTheme="minorHAnsi" w:hAnsiTheme="minorHAnsi"/>
              </w:rPr>
            </w:pPr>
            <w:r w:rsidRPr="009B7510">
              <w:rPr>
                <w:rFonts w:asciiTheme="minorHAnsi" w:hAnsiTheme="minorHAnsi"/>
              </w:rPr>
              <w:t>transition.mp</w:t>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94, 329</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527, 470</w:t>
            </w:r>
          </w:p>
        </w:tc>
      </w:tr>
      <w:tr w:rsidR="006F4F05" w:rsidRPr="009B7510" w:rsidTr="0097413C">
        <w:tc>
          <w:tcPr>
            <w:tcW w:w="4925" w:type="dxa"/>
          </w:tcPr>
          <w:p w:rsidR="006F4F05" w:rsidRPr="006F4F05" w:rsidRDefault="006F4F05" w:rsidP="006F4F05">
            <w:pPr>
              <w:pStyle w:val="ListParagraph"/>
              <w:numPr>
                <w:ilvl w:val="0"/>
                <w:numId w:val="16"/>
              </w:numPr>
              <w:spacing w:after="0" w:line="240" w:lineRule="auto"/>
              <w:rPr>
                <w:rFonts w:asciiTheme="minorHAnsi" w:hAnsiTheme="minorHAnsi"/>
              </w:rPr>
            </w:pPr>
            <w:r w:rsidRPr="009B7510">
              <w:rPr>
                <w:rFonts w:asciiTheme="minorHAnsi" w:hAnsiTheme="minorHAnsi"/>
              </w:rPr>
              <w:t>clinical clerkship.mp</w:t>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2, 253</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1, 989</w:t>
            </w:r>
          </w:p>
        </w:tc>
      </w:tr>
      <w:tr w:rsidR="006F4F05" w:rsidRPr="009B7510" w:rsidTr="0097413C">
        <w:tc>
          <w:tcPr>
            <w:tcW w:w="4925" w:type="dxa"/>
          </w:tcPr>
          <w:p w:rsidR="006F4F05" w:rsidRPr="006F4F05" w:rsidRDefault="006F4F05" w:rsidP="006F4F05">
            <w:pPr>
              <w:pStyle w:val="ListParagraph"/>
              <w:numPr>
                <w:ilvl w:val="0"/>
                <w:numId w:val="16"/>
              </w:numPr>
              <w:spacing w:after="0" w:line="240" w:lineRule="auto"/>
              <w:rPr>
                <w:rFonts w:asciiTheme="minorHAnsi" w:hAnsiTheme="minorHAnsi"/>
              </w:rPr>
            </w:pPr>
            <w:r w:rsidRPr="009B7510">
              <w:rPr>
                <w:rFonts w:asciiTheme="minorHAnsi" w:hAnsiTheme="minorHAnsi"/>
              </w:rPr>
              <w:t>patient safety.mp</w:t>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9, 590</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188, 452</w:t>
            </w:r>
          </w:p>
        </w:tc>
      </w:tr>
      <w:tr w:rsidR="006F4F05" w:rsidRPr="009B7510" w:rsidTr="0097413C">
        <w:tc>
          <w:tcPr>
            <w:tcW w:w="4925" w:type="dxa"/>
          </w:tcPr>
          <w:p w:rsidR="006F4F05" w:rsidRPr="006F4F05" w:rsidRDefault="006F4F05" w:rsidP="006F4F05">
            <w:pPr>
              <w:pStyle w:val="ListParagraph"/>
              <w:numPr>
                <w:ilvl w:val="0"/>
                <w:numId w:val="16"/>
              </w:numPr>
              <w:spacing w:after="0" w:line="240" w:lineRule="auto"/>
              <w:rPr>
                <w:rFonts w:asciiTheme="minorHAnsi" w:hAnsiTheme="minorHAnsi"/>
                <w:b/>
              </w:rPr>
            </w:pPr>
            <w:r w:rsidRPr="009B7510">
              <w:rPr>
                <w:rFonts w:asciiTheme="minorHAnsi" w:hAnsiTheme="minorHAnsi"/>
                <w:b/>
              </w:rPr>
              <w:t>1or 2</w:t>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305, 897</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625, 164</w:t>
            </w:r>
          </w:p>
        </w:tc>
      </w:tr>
      <w:tr w:rsidR="006F4F05" w:rsidRPr="009B7510" w:rsidTr="0097413C">
        <w:tc>
          <w:tcPr>
            <w:tcW w:w="4925" w:type="dxa"/>
          </w:tcPr>
          <w:p w:rsidR="006F4F05" w:rsidRPr="006F4F05" w:rsidRDefault="006F4F05" w:rsidP="006F4F05">
            <w:pPr>
              <w:pStyle w:val="ListParagraph"/>
              <w:numPr>
                <w:ilvl w:val="0"/>
                <w:numId w:val="16"/>
              </w:numPr>
              <w:spacing w:after="0" w:line="240" w:lineRule="auto"/>
              <w:rPr>
                <w:rFonts w:asciiTheme="minorHAnsi" w:hAnsiTheme="minorHAnsi"/>
                <w:b/>
              </w:rPr>
            </w:pPr>
            <w:r w:rsidRPr="009B7510">
              <w:rPr>
                <w:rFonts w:asciiTheme="minorHAnsi" w:hAnsiTheme="minorHAnsi"/>
                <w:b/>
              </w:rPr>
              <w:t>3 or 5</w:t>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12, 517</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178, 776</w:t>
            </w:r>
          </w:p>
        </w:tc>
      </w:tr>
      <w:tr w:rsidR="006F4F05" w:rsidRPr="009B7510" w:rsidTr="0097413C">
        <w:tc>
          <w:tcPr>
            <w:tcW w:w="4925" w:type="dxa"/>
          </w:tcPr>
          <w:p w:rsidR="006F4F05" w:rsidRPr="006F4F05" w:rsidRDefault="006F4F05" w:rsidP="006F4F05">
            <w:pPr>
              <w:pStyle w:val="ListParagraph"/>
              <w:numPr>
                <w:ilvl w:val="0"/>
                <w:numId w:val="16"/>
              </w:numPr>
              <w:spacing w:after="0" w:line="240" w:lineRule="auto"/>
              <w:rPr>
                <w:rFonts w:asciiTheme="minorHAnsi" w:hAnsiTheme="minorHAnsi"/>
                <w:b/>
              </w:rPr>
            </w:pPr>
            <w:r w:rsidRPr="009B7510">
              <w:rPr>
                <w:rFonts w:asciiTheme="minorHAnsi" w:hAnsiTheme="minorHAnsi"/>
                <w:b/>
              </w:rPr>
              <w:t>10 and 11</w:t>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12, 517</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178, 776</w:t>
            </w:r>
          </w:p>
        </w:tc>
      </w:tr>
      <w:tr w:rsidR="006F4F05" w:rsidRPr="009B7510" w:rsidTr="0097413C">
        <w:tc>
          <w:tcPr>
            <w:tcW w:w="4925" w:type="dxa"/>
          </w:tcPr>
          <w:p w:rsidR="006F4F05" w:rsidRPr="006F4F05" w:rsidRDefault="006F4F05" w:rsidP="006F4F05">
            <w:pPr>
              <w:pStyle w:val="ListParagraph"/>
              <w:numPr>
                <w:ilvl w:val="0"/>
                <w:numId w:val="16"/>
              </w:numPr>
              <w:spacing w:after="0" w:line="240" w:lineRule="auto"/>
              <w:rPr>
                <w:rFonts w:asciiTheme="minorHAnsi" w:hAnsiTheme="minorHAnsi"/>
                <w:b/>
              </w:rPr>
            </w:pPr>
            <w:r w:rsidRPr="009B7510">
              <w:rPr>
                <w:rFonts w:asciiTheme="minorHAnsi" w:hAnsiTheme="minorHAnsi"/>
                <w:b/>
              </w:rPr>
              <w:t>4 or 12</w:t>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12, 536</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179, 314</w:t>
            </w:r>
          </w:p>
        </w:tc>
      </w:tr>
      <w:tr w:rsidR="006F4F05" w:rsidRPr="009B7510" w:rsidTr="0097413C">
        <w:tc>
          <w:tcPr>
            <w:tcW w:w="4925" w:type="dxa"/>
          </w:tcPr>
          <w:p w:rsidR="006F4F05" w:rsidRPr="006F4F05" w:rsidRDefault="006F4F05" w:rsidP="006F4F05">
            <w:pPr>
              <w:pStyle w:val="ListParagraph"/>
              <w:numPr>
                <w:ilvl w:val="0"/>
                <w:numId w:val="16"/>
              </w:numPr>
              <w:spacing w:after="0" w:line="240" w:lineRule="auto"/>
              <w:rPr>
                <w:rFonts w:asciiTheme="minorHAnsi" w:hAnsiTheme="minorHAnsi"/>
              </w:rPr>
            </w:pPr>
            <w:r w:rsidRPr="009B7510">
              <w:rPr>
                <w:rFonts w:asciiTheme="minorHAnsi" w:hAnsiTheme="minorHAnsi"/>
              </w:rPr>
              <w:t>limit 7 to “English language”, “humans only”, yr “2002 – Current”</w:t>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30, 501</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N/A**</w:t>
            </w:r>
          </w:p>
        </w:tc>
      </w:tr>
      <w:tr w:rsidR="006F4F05" w:rsidRPr="009B7510" w:rsidTr="0097413C">
        <w:tc>
          <w:tcPr>
            <w:tcW w:w="4925" w:type="dxa"/>
          </w:tcPr>
          <w:p w:rsidR="006F4F05" w:rsidRPr="006F4F05" w:rsidRDefault="006F4F05" w:rsidP="006F4F05">
            <w:pPr>
              <w:pStyle w:val="ListParagraph"/>
              <w:numPr>
                <w:ilvl w:val="0"/>
                <w:numId w:val="16"/>
              </w:numPr>
              <w:spacing w:after="0" w:line="240" w:lineRule="auto"/>
              <w:rPr>
                <w:rFonts w:asciiTheme="minorHAnsi" w:hAnsiTheme="minorHAnsi"/>
              </w:rPr>
            </w:pPr>
            <w:r w:rsidRPr="009B7510">
              <w:rPr>
                <w:rFonts w:asciiTheme="minorHAnsi" w:hAnsiTheme="minorHAnsi"/>
              </w:rPr>
              <w:t>limit 13 to “English language”, “humans only”, yr “2002 – Current”</w:t>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7, 217</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N/A**</w:t>
            </w:r>
          </w:p>
        </w:tc>
      </w:tr>
      <w:tr w:rsidR="006F4F05" w:rsidRPr="009B7510" w:rsidTr="0097413C">
        <w:tc>
          <w:tcPr>
            <w:tcW w:w="4925" w:type="dxa"/>
          </w:tcPr>
          <w:p w:rsidR="006F4F05" w:rsidRPr="006F4F05" w:rsidRDefault="006F4F05" w:rsidP="006F4F05">
            <w:pPr>
              <w:pStyle w:val="ListParagraph"/>
              <w:numPr>
                <w:ilvl w:val="0"/>
                <w:numId w:val="16"/>
              </w:numPr>
              <w:spacing w:after="0" w:line="240" w:lineRule="auto"/>
              <w:rPr>
                <w:rFonts w:asciiTheme="minorHAnsi" w:hAnsiTheme="minorHAnsi"/>
                <w:b/>
              </w:rPr>
            </w:pPr>
            <w:r w:rsidRPr="009B7510">
              <w:rPr>
                <w:rFonts w:asciiTheme="minorHAnsi" w:hAnsiTheme="minorHAnsi"/>
                <w:b/>
              </w:rPr>
              <w:t>14 and 15</w:t>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85</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1, 438</w:t>
            </w:r>
          </w:p>
        </w:tc>
      </w:tr>
      <w:tr w:rsidR="006F4F05" w:rsidRPr="009B7510" w:rsidTr="0097413C">
        <w:trPr>
          <w:trHeight w:val="706"/>
        </w:trPr>
        <w:tc>
          <w:tcPr>
            <w:tcW w:w="4925" w:type="dxa"/>
          </w:tcPr>
          <w:p w:rsidR="006F4F05" w:rsidRPr="006F4F05" w:rsidRDefault="006F4F05" w:rsidP="006F4F05">
            <w:pPr>
              <w:pStyle w:val="ListParagraph"/>
              <w:numPr>
                <w:ilvl w:val="0"/>
                <w:numId w:val="16"/>
              </w:numPr>
              <w:spacing w:after="0" w:line="240" w:lineRule="auto"/>
              <w:rPr>
                <w:rFonts w:asciiTheme="minorHAnsi" w:hAnsiTheme="minorHAnsi"/>
              </w:rPr>
            </w:pPr>
            <w:r w:rsidRPr="009B7510">
              <w:rPr>
                <w:rFonts w:asciiTheme="minorHAnsi" w:hAnsiTheme="minorHAnsi"/>
              </w:rPr>
              <w:t>limit 6 to “English language”, “humans only”, yr “2002 – Current”</w:t>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5, 862</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N/A**</w:t>
            </w:r>
          </w:p>
        </w:tc>
      </w:tr>
      <w:tr w:rsidR="006F4F05" w:rsidRPr="009B7510" w:rsidTr="0097413C">
        <w:tc>
          <w:tcPr>
            <w:tcW w:w="4925" w:type="dxa"/>
          </w:tcPr>
          <w:p w:rsidR="006F4F05" w:rsidRPr="006F4F05" w:rsidRDefault="006F4F05" w:rsidP="006F4F05">
            <w:pPr>
              <w:pStyle w:val="ListParagraph"/>
              <w:numPr>
                <w:ilvl w:val="0"/>
                <w:numId w:val="16"/>
              </w:numPr>
              <w:spacing w:after="0" w:line="240" w:lineRule="auto"/>
              <w:rPr>
                <w:rFonts w:asciiTheme="minorHAnsi" w:hAnsiTheme="minorHAnsi"/>
                <w:b/>
              </w:rPr>
            </w:pPr>
            <w:r w:rsidRPr="009B7510">
              <w:rPr>
                <w:rFonts w:asciiTheme="minorHAnsi" w:hAnsiTheme="minorHAnsi"/>
                <w:b/>
              </w:rPr>
              <w:t>14 or 17</w:t>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108, 317</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190, 405</w:t>
            </w:r>
          </w:p>
        </w:tc>
      </w:tr>
      <w:tr w:rsidR="006F4F05" w:rsidRPr="009B7510" w:rsidTr="0097413C">
        <w:tc>
          <w:tcPr>
            <w:tcW w:w="4925" w:type="dxa"/>
          </w:tcPr>
          <w:p w:rsidR="006F4F05" w:rsidRPr="009B7510" w:rsidRDefault="006F4F05" w:rsidP="006F4F05">
            <w:pPr>
              <w:pStyle w:val="ListParagraph"/>
              <w:numPr>
                <w:ilvl w:val="0"/>
                <w:numId w:val="16"/>
              </w:numPr>
              <w:spacing w:after="0" w:line="240" w:lineRule="auto"/>
              <w:rPr>
                <w:rFonts w:asciiTheme="minorHAnsi" w:hAnsiTheme="minorHAnsi"/>
                <w:b/>
              </w:rPr>
            </w:pPr>
            <w:r w:rsidRPr="009B7510">
              <w:rPr>
                <w:rFonts w:asciiTheme="minorHAnsi" w:hAnsiTheme="minorHAnsi"/>
                <w:b/>
              </w:rPr>
              <w:t>15 and 18</w:t>
            </w:r>
          </w:p>
        </w:tc>
        <w:tc>
          <w:tcPr>
            <w:tcW w:w="1619"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95</w:t>
            </w:r>
          </w:p>
        </w:tc>
        <w:tc>
          <w:tcPr>
            <w:tcW w:w="1428" w:type="dxa"/>
          </w:tcPr>
          <w:p w:rsidR="006F4F05" w:rsidRPr="009B7510" w:rsidRDefault="006F4F05" w:rsidP="006F4F05">
            <w:pPr>
              <w:spacing w:line="240" w:lineRule="auto"/>
              <w:rPr>
                <w:rFonts w:asciiTheme="minorHAnsi" w:hAnsiTheme="minorHAnsi"/>
                <w:b/>
              </w:rPr>
            </w:pPr>
            <w:r w:rsidRPr="009B7510">
              <w:rPr>
                <w:rFonts w:asciiTheme="minorHAnsi" w:hAnsiTheme="minorHAnsi"/>
                <w:b/>
              </w:rPr>
              <w:t>123</w:t>
            </w:r>
          </w:p>
        </w:tc>
      </w:tr>
    </w:tbl>
    <w:p w:rsidR="006F4F05" w:rsidRDefault="006F4F05" w:rsidP="0043234F">
      <w:pPr>
        <w:spacing w:line="360" w:lineRule="auto"/>
      </w:pPr>
    </w:p>
    <w:p w:rsidR="00524987" w:rsidRPr="009B7510" w:rsidRDefault="00524987" w:rsidP="00524987">
      <w:pPr>
        <w:spacing w:after="0" w:line="240" w:lineRule="auto"/>
        <w:rPr>
          <w:rFonts w:asciiTheme="minorHAnsi" w:hAnsiTheme="minorHAnsi"/>
        </w:rPr>
      </w:pPr>
      <w:r w:rsidRPr="009B7510">
        <w:rPr>
          <w:rFonts w:asciiTheme="minorHAnsi" w:hAnsiTheme="minorHAnsi"/>
          <w:b/>
        </w:rPr>
        <w:t>*</w:t>
      </w:r>
      <w:r w:rsidRPr="009B7510">
        <w:rPr>
          <w:rFonts w:asciiTheme="minorHAnsi" w:hAnsiTheme="minorHAnsi"/>
        </w:rPr>
        <w:t>Scopus does not allow terms to be mapped or use term words</w:t>
      </w:r>
    </w:p>
    <w:p w:rsidR="00524987" w:rsidRPr="009B7510" w:rsidRDefault="00524987" w:rsidP="00524987">
      <w:pPr>
        <w:spacing w:after="0" w:line="240" w:lineRule="auto"/>
        <w:rPr>
          <w:rFonts w:asciiTheme="minorHAnsi" w:hAnsiTheme="minorHAnsi"/>
          <w:b/>
        </w:rPr>
      </w:pPr>
      <w:r w:rsidRPr="009B7510">
        <w:rPr>
          <w:rFonts w:asciiTheme="minorHAnsi" w:hAnsiTheme="minorHAnsi"/>
        </w:rPr>
        <w:t>**Scopus does not offer a limit function when combining searches together</w:t>
      </w:r>
    </w:p>
    <w:p w:rsidR="006F4F05" w:rsidRPr="0043234F" w:rsidRDefault="006F4F05" w:rsidP="0043234F">
      <w:pPr>
        <w:spacing w:line="360" w:lineRule="auto"/>
      </w:pPr>
      <w:r w:rsidRPr="006F4F05">
        <w:rPr>
          <w:b/>
        </w:rPr>
        <w:t>Table 1</w:t>
      </w:r>
      <w:r w:rsidR="00524987">
        <w:t xml:space="preserve"> </w:t>
      </w:r>
      <w:r>
        <w:t>Search strategy</w:t>
      </w:r>
    </w:p>
    <w:p w:rsidR="00395CE0" w:rsidRPr="002354EB" w:rsidRDefault="00DF621C" w:rsidP="00FB47CB">
      <w:pPr>
        <w:spacing w:line="360" w:lineRule="auto"/>
        <w:rPr>
          <w:b/>
        </w:rPr>
      </w:pPr>
      <w:r>
        <w:rPr>
          <w:b/>
        </w:rPr>
        <w:br w:type="page"/>
      </w:r>
      <w:r w:rsidR="00395CE0" w:rsidRPr="002354EB">
        <w:rPr>
          <w:b/>
        </w:rPr>
        <w:lastRenderedPageBreak/>
        <w:t>Results</w:t>
      </w:r>
    </w:p>
    <w:p w:rsidR="0029008E" w:rsidRDefault="00BB6330" w:rsidP="00FB47CB">
      <w:pPr>
        <w:spacing w:line="360" w:lineRule="auto"/>
      </w:pPr>
      <w:r>
        <w:t xml:space="preserve">Twenty-six articles were identified </w:t>
      </w:r>
      <w:r w:rsidR="00AA2393">
        <w:t xml:space="preserve">by the search, </w:t>
      </w:r>
      <w:r>
        <w:t xml:space="preserve">of which </w:t>
      </w:r>
      <w:r w:rsidR="004C2465">
        <w:t xml:space="preserve">nine </w:t>
      </w:r>
      <w:r>
        <w:t xml:space="preserve">related </w:t>
      </w:r>
      <w:r w:rsidR="00C97C82">
        <w:t xml:space="preserve">directly </w:t>
      </w:r>
      <w:r>
        <w:t>to the</w:t>
      </w:r>
      <w:r w:rsidR="00395CE0">
        <w:t xml:space="preserve"> research question</w:t>
      </w:r>
      <w:r w:rsidR="008545F2">
        <w:t xml:space="preserve"> (see Table 2)</w:t>
      </w:r>
      <w:r w:rsidR="00395CE0">
        <w:t xml:space="preserve">. </w:t>
      </w:r>
      <w:r w:rsidR="008545F2">
        <w:t xml:space="preserve"> </w:t>
      </w:r>
      <w:r w:rsidR="00737811">
        <w:t xml:space="preserve"> All of the</w:t>
      </w:r>
      <w:r w:rsidR="005D59A7">
        <w:t xml:space="preserve"> </w:t>
      </w:r>
      <w:r w:rsidR="008545F2">
        <w:t>studies focused on new doctors’ views and perceptions [a-</w:t>
      </w:r>
      <w:r w:rsidR="00737811">
        <w:t>i</w:t>
      </w:r>
      <w:r w:rsidR="008545F2">
        <w:t>]</w:t>
      </w:r>
      <w:r w:rsidR="004C2465">
        <w:t>.</w:t>
      </w:r>
      <w:r w:rsidR="008545F2">
        <w:t xml:space="preserve"> Six</w:t>
      </w:r>
      <w:r w:rsidR="00AD1F81">
        <w:t xml:space="preserve"> of the</w:t>
      </w:r>
      <w:r w:rsidR="004C2465">
        <w:t>se</w:t>
      </w:r>
      <w:r w:rsidR="00AD1F81">
        <w:t xml:space="preserve"> </w:t>
      </w:r>
      <w:r w:rsidR="00791275" w:rsidRPr="0029008E">
        <w:t xml:space="preserve">studies reviewed were </w:t>
      </w:r>
      <w:r w:rsidR="00791275">
        <w:t>U</w:t>
      </w:r>
      <w:r w:rsidR="00791275" w:rsidRPr="0029008E">
        <w:t>K</w:t>
      </w:r>
      <w:r w:rsidR="00791275">
        <w:t>-based</w:t>
      </w:r>
      <w:r w:rsidR="00AD1F81">
        <w:t>: one was German [</w:t>
      </w:r>
      <w:r w:rsidR="008545F2">
        <w:t>f</w:t>
      </w:r>
      <w:r w:rsidR="00AD1F81">
        <w:t>],</w:t>
      </w:r>
      <w:r w:rsidR="00AA2393">
        <w:t xml:space="preserve"> one from Sweden</w:t>
      </w:r>
      <w:r w:rsidR="00AD1F81">
        <w:t xml:space="preserve"> </w:t>
      </w:r>
      <w:r w:rsidR="008545F2">
        <w:t>[e</w:t>
      </w:r>
      <w:r w:rsidR="00AD1F81">
        <w:t>]</w:t>
      </w:r>
      <w:r w:rsidR="003F6061">
        <w:t xml:space="preserve"> </w:t>
      </w:r>
      <w:r w:rsidR="004C2465">
        <w:t>and</w:t>
      </w:r>
      <w:r w:rsidR="008545F2">
        <w:t xml:space="preserve"> </w:t>
      </w:r>
      <w:r w:rsidR="00AD1F81">
        <w:t>o</w:t>
      </w:r>
      <w:r w:rsidR="008545F2">
        <w:t>ne from the Netherlands [</w:t>
      </w:r>
      <w:r w:rsidR="004C2465">
        <w:t>i</w:t>
      </w:r>
      <w:r w:rsidR="00AD1F81">
        <w:t>]</w:t>
      </w:r>
      <w:r w:rsidR="00791275" w:rsidRPr="0029008E">
        <w:t xml:space="preserve">.   </w:t>
      </w:r>
      <w:r w:rsidR="0029008E">
        <w:t>The most common tool was a retrospective questionnaire [</w:t>
      </w:r>
      <w:r w:rsidR="006A0897">
        <w:t>Table 2: b, c, e-</w:t>
      </w:r>
      <w:r w:rsidR="008545F2">
        <w:t xml:space="preserve">h, </w:t>
      </w:r>
      <w:r w:rsidR="004C2465">
        <w:t>i</w:t>
      </w:r>
      <w:r w:rsidR="0029008E">
        <w:t>]</w:t>
      </w:r>
      <w:r w:rsidR="00C97C82">
        <w:t>, followed by</w:t>
      </w:r>
      <w:r w:rsidR="00EB4462">
        <w:t xml:space="preserve"> interviews [</w:t>
      </w:r>
      <w:r w:rsidR="006A0897">
        <w:t>a, d</w:t>
      </w:r>
      <w:r w:rsidR="008545F2">
        <w:t>, i</w:t>
      </w:r>
      <w:r w:rsidR="00EB4462">
        <w:t>] and audio diaries [</w:t>
      </w:r>
      <w:r w:rsidR="006A0897">
        <w:t>a</w:t>
      </w:r>
      <w:r w:rsidR="0029008E">
        <w:t>].  Sample sizes varie</w:t>
      </w:r>
      <w:r w:rsidR="008545F2">
        <w:t xml:space="preserve">d from a national survey of 11,610 junior doctors to a qualitative study of </w:t>
      </w:r>
      <w:r w:rsidR="002357B4">
        <w:t>31</w:t>
      </w:r>
      <w:r w:rsidR="008545F2">
        <w:t xml:space="preserve"> </w:t>
      </w:r>
      <w:r w:rsidR="006A0897">
        <w:t>[</w:t>
      </w:r>
      <w:r w:rsidR="008545F2">
        <w:t xml:space="preserve">c, </w:t>
      </w:r>
      <w:r w:rsidR="002357B4">
        <w:t>a</w:t>
      </w:r>
      <w:r w:rsidR="0029008E">
        <w:t xml:space="preserve">].  </w:t>
      </w:r>
    </w:p>
    <w:p w:rsidR="00721E89" w:rsidRDefault="00C97C82" w:rsidP="00C97C82">
      <w:pPr>
        <w:spacing w:line="360" w:lineRule="auto"/>
      </w:pPr>
      <w:r>
        <w:t>A number of the survey</w:t>
      </w:r>
      <w:r w:rsidR="00684CE2">
        <w:t>-based</w:t>
      </w:r>
      <w:r>
        <w:t xml:space="preserve"> studies</w:t>
      </w:r>
      <w:r w:rsidRPr="00F92FEC">
        <w:t xml:space="preserve"> report</w:t>
      </w:r>
      <w:r>
        <w:t>ed</w:t>
      </w:r>
      <w:r w:rsidR="00EE4C18">
        <w:t xml:space="preserve"> relatively</w:t>
      </w:r>
      <w:r w:rsidRPr="00F92FEC">
        <w:t xml:space="preserve"> poor response rates</w:t>
      </w:r>
      <w:r>
        <w:t xml:space="preserve"> [</w:t>
      </w:r>
      <w:r w:rsidR="006A0897">
        <w:t xml:space="preserve">a, b, g, </w:t>
      </w:r>
      <w:r w:rsidR="00D47325">
        <w:t>i</w:t>
      </w:r>
      <w:r>
        <w:t>] which may have introduced bias</w:t>
      </w:r>
      <w:r w:rsidRPr="00F92FEC">
        <w:t>.</w:t>
      </w:r>
      <w:r>
        <w:t xml:space="preserve">  A</w:t>
      </w:r>
      <w:r w:rsidR="00E8010C">
        <w:t>nonymised</w:t>
      </w:r>
      <w:r>
        <w:t xml:space="preserve"> responses </w:t>
      </w:r>
      <w:r w:rsidR="00684CE2">
        <w:t xml:space="preserve">in two </w:t>
      </w:r>
      <w:r w:rsidR="00791275">
        <w:t xml:space="preserve">other questionnaire </w:t>
      </w:r>
      <w:r w:rsidR="00684CE2">
        <w:t xml:space="preserve">studies </w:t>
      </w:r>
      <w:r>
        <w:t>may have minimised this potential problem [</w:t>
      </w:r>
      <w:r w:rsidR="006A0897">
        <w:t>f, h</w:t>
      </w:r>
      <w:r>
        <w:t>]</w:t>
      </w:r>
      <w:r w:rsidRPr="00F92FEC">
        <w:t>.</w:t>
      </w:r>
      <w:r>
        <w:t xml:space="preserve"> </w:t>
      </w:r>
      <w:r w:rsidR="002354EB">
        <w:t>N</w:t>
      </w:r>
      <w:r w:rsidR="008545F2">
        <w:t xml:space="preserve">one of the </w:t>
      </w:r>
      <w:r w:rsidR="002354EB">
        <w:t>qualitative paper</w:t>
      </w:r>
      <w:r w:rsidR="008545F2">
        <w:t>s</w:t>
      </w:r>
      <w:r w:rsidR="002354EB">
        <w:t xml:space="preserve"> reported data saturation</w:t>
      </w:r>
      <w:r w:rsidR="00721E89">
        <w:t xml:space="preserve"> or contradictory data</w:t>
      </w:r>
      <w:r w:rsidR="002354EB">
        <w:t>, suggesting themes were poten</w:t>
      </w:r>
      <w:r w:rsidR="006A0897">
        <w:t>tially left undiscovered [a, d</w:t>
      </w:r>
      <w:r w:rsidR="002354EB">
        <w:t>].</w:t>
      </w:r>
      <w:r w:rsidR="00721E89">
        <w:t xml:space="preserve">  </w:t>
      </w:r>
    </w:p>
    <w:p w:rsidR="00684CE2" w:rsidRDefault="00C97C82" w:rsidP="00C97C82">
      <w:pPr>
        <w:spacing w:line="360" w:lineRule="auto"/>
      </w:pPr>
      <w:r>
        <w:t xml:space="preserve">Only two studies provided information </w:t>
      </w:r>
      <w:r w:rsidR="006A0897">
        <w:t>on participant selection [f, h</w:t>
      </w:r>
      <w:r>
        <w:t xml:space="preserve">].  In those which did not, there was no means of determining if those who took part were representative of the intended population.   </w:t>
      </w:r>
    </w:p>
    <w:p w:rsidR="00C97C82" w:rsidRDefault="00C97C82" w:rsidP="00FB47CB">
      <w:pPr>
        <w:spacing w:line="360" w:lineRule="auto"/>
      </w:pPr>
      <w:r>
        <w:t>All studies were retrospective.  Asking participants to comment retrospectively</w:t>
      </w:r>
      <w:r w:rsidR="006A0897">
        <w:t xml:space="preserve"> may</w:t>
      </w:r>
      <w:r>
        <w:t xml:space="preserve"> introduce recall bias and questions</w:t>
      </w:r>
      <w:r w:rsidR="006A0897">
        <w:t xml:space="preserve"> the accuracy of the results</w:t>
      </w:r>
      <w:r>
        <w:t xml:space="preserve">.  No studies asked medical students how prepared they felt for work prior to the transition itself.  </w:t>
      </w:r>
    </w:p>
    <w:p w:rsidR="00395CE0" w:rsidRDefault="009872B6" w:rsidP="00FB47CB">
      <w:pPr>
        <w:spacing w:line="360" w:lineRule="auto"/>
      </w:pPr>
      <w:r>
        <w:t xml:space="preserve">The majority of the </w:t>
      </w:r>
      <w:r w:rsidR="00395CE0">
        <w:t>papers found that aspects of knowledge and s</w:t>
      </w:r>
      <w:r w:rsidR="0036620A">
        <w:t xml:space="preserve">kills were relevant </w:t>
      </w:r>
      <w:r w:rsidR="00395CE0">
        <w:t>to</w:t>
      </w:r>
      <w:r w:rsidR="0036620A">
        <w:t xml:space="preserve"> junior doctor</w:t>
      </w:r>
      <w:r w:rsidR="00BB6330">
        <w:t>’</w:t>
      </w:r>
      <w:r w:rsidR="0036620A">
        <w:t>s</w:t>
      </w:r>
      <w:r w:rsidR="00CA7879">
        <w:t xml:space="preserve"> preparedness f</w:t>
      </w:r>
      <w:r w:rsidR="009C6DD5">
        <w:t>or practice [</w:t>
      </w:r>
      <w:r w:rsidR="008545F2">
        <w:t>a, c, e-</w:t>
      </w:r>
      <w:r w:rsidR="00D47325">
        <w:t>h</w:t>
      </w:r>
      <w:r w:rsidR="009C6DD5">
        <w:t>]</w:t>
      </w:r>
      <w:r w:rsidR="00395CE0">
        <w:t xml:space="preserve">.  </w:t>
      </w:r>
      <w:r w:rsidR="000E57A2">
        <w:t>The following</w:t>
      </w:r>
      <w:r w:rsidR="00395CE0">
        <w:t xml:space="preserve"> were highlighted to be lacking in newly qualified doctors</w:t>
      </w:r>
      <w:r w:rsidR="00BB6330">
        <w:t xml:space="preserve">: </w:t>
      </w:r>
      <w:r w:rsidR="00395CE0">
        <w:t>prescribing</w:t>
      </w:r>
      <w:r w:rsidR="00201820">
        <w:t>;</w:t>
      </w:r>
      <w:r w:rsidR="00395CE0">
        <w:t xml:space="preserve"> </w:t>
      </w:r>
      <w:r w:rsidR="00BB6330">
        <w:t>decision making, treatment planning</w:t>
      </w:r>
      <w:r w:rsidR="00201820">
        <w:t xml:space="preserve"> and prioritisation; taking responsibility for one’s own learning; managing stress in the workplace; </w:t>
      </w:r>
      <w:r w:rsidR="00574C95">
        <w:t>team working</w:t>
      </w:r>
      <w:r w:rsidR="00201820">
        <w:t>;</w:t>
      </w:r>
      <w:r w:rsidR="00395CE0">
        <w:t xml:space="preserve"> interpersonal skills</w:t>
      </w:r>
      <w:r w:rsidR="00CA7879">
        <w:t xml:space="preserve"> </w:t>
      </w:r>
      <w:r w:rsidR="00C3195C">
        <w:t>and</w:t>
      </w:r>
      <w:r w:rsidR="009C6DD5">
        <w:t xml:space="preserve"> </w:t>
      </w:r>
      <w:r w:rsidR="00201820">
        <w:t>competence</w:t>
      </w:r>
      <w:r w:rsidR="009C6DD5">
        <w:t xml:space="preserve"> </w:t>
      </w:r>
      <w:r w:rsidR="00201820">
        <w:t>in carrying out clinical proc</w:t>
      </w:r>
      <w:r w:rsidR="006A0897">
        <w:t>edures</w:t>
      </w:r>
      <w:r w:rsidR="00395CE0">
        <w:t xml:space="preserve">.  </w:t>
      </w:r>
    </w:p>
    <w:p w:rsidR="002354EB" w:rsidRDefault="00530B34" w:rsidP="0001660B">
      <w:pPr>
        <w:spacing w:line="360" w:lineRule="auto"/>
      </w:pPr>
      <w:r w:rsidRPr="00530B34">
        <w:t>Wo</w:t>
      </w:r>
      <w:r w:rsidR="00395CE0">
        <w:t>rkplace factors</w:t>
      </w:r>
      <w:r>
        <w:t xml:space="preserve"> can </w:t>
      </w:r>
      <w:r w:rsidR="007B2699">
        <w:t>influence</w:t>
      </w:r>
      <w:r>
        <w:t xml:space="preserve"> </w:t>
      </w:r>
      <w:r w:rsidR="00395CE0">
        <w:t>the tran</w:t>
      </w:r>
      <w:r w:rsidR="009C7DBE">
        <w:t>sition into work.</w:t>
      </w:r>
      <w:r w:rsidR="00395CE0">
        <w:t xml:space="preserve"> </w:t>
      </w:r>
      <w:r w:rsidR="00684CE2">
        <w:t xml:space="preserve"> </w:t>
      </w:r>
      <w:r w:rsidR="0001660B">
        <w:t>P</w:t>
      </w:r>
      <w:r>
        <w:t xml:space="preserve">erceived </w:t>
      </w:r>
      <w:r w:rsidR="00395CE0">
        <w:t>lack of support from fel</w:t>
      </w:r>
      <w:r w:rsidR="0001660B">
        <w:t>low and senior staff</w:t>
      </w:r>
      <w:r w:rsidR="002354EB">
        <w:t xml:space="preserve">, lack of continuity (changing work rotas, understaffing and incomplete ward teams) and poor feedback contribute </w:t>
      </w:r>
      <w:r w:rsidR="00395CE0">
        <w:t>to feelings of e</w:t>
      </w:r>
      <w:r w:rsidR="009C6DD5">
        <w:t>xposure and underpreparedness [</w:t>
      </w:r>
      <w:r w:rsidR="006A0897">
        <w:t>a, b, d, f</w:t>
      </w:r>
      <w:r w:rsidR="009C6DD5">
        <w:t>]</w:t>
      </w:r>
      <w:r w:rsidR="00395CE0">
        <w:t xml:space="preserve">.   </w:t>
      </w:r>
    </w:p>
    <w:p w:rsidR="0001660B" w:rsidRDefault="0001660B" w:rsidP="0001660B">
      <w:pPr>
        <w:spacing w:line="360" w:lineRule="auto"/>
      </w:pPr>
      <w:r>
        <w:t>Also relevant to the transition from student to junior doctor are</w:t>
      </w:r>
      <w:r w:rsidR="008D0C5A">
        <w:t xml:space="preserve"> factors related to </w:t>
      </w:r>
      <w:r>
        <w:t>medical school</w:t>
      </w:r>
      <w:r w:rsidR="008D0C5A">
        <w:t xml:space="preserve"> programmes</w:t>
      </w:r>
      <w:r>
        <w:t>.   Having experience of shadowing and attachments increases preparedness</w:t>
      </w:r>
      <w:r w:rsidR="00E8010C">
        <w:t xml:space="preserve"> </w:t>
      </w:r>
      <w:r>
        <w:t>[</w:t>
      </w:r>
      <w:r w:rsidR="006A0897">
        <w:t>a, b, h</w:t>
      </w:r>
      <w:r>
        <w:t xml:space="preserve">].  </w:t>
      </w:r>
      <w:r w:rsidR="00791275">
        <w:t>V</w:t>
      </w:r>
      <w:r>
        <w:t xml:space="preserve">ertically integrated courses (i.e. early introduction of clinical skills) </w:t>
      </w:r>
      <w:r w:rsidR="00684CE2">
        <w:t xml:space="preserve">seem to </w:t>
      </w:r>
      <w:r>
        <w:t>prepare students bette</w:t>
      </w:r>
      <w:r w:rsidR="006A0897">
        <w:t>r for life as junior doctors [</w:t>
      </w:r>
      <w:r w:rsidR="00D47325">
        <w:t>i</w:t>
      </w:r>
      <w:r>
        <w:t>].  Feelings of preparedness vary extensively between medical schools</w:t>
      </w:r>
      <w:r w:rsidR="006A0897">
        <w:t xml:space="preserve"> </w:t>
      </w:r>
      <w:r w:rsidR="00D47325">
        <w:t>[</w:t>
      </w:r>
      <w:r w:rsidR="006A0897">
        <w:t>c</w:t>
      </w:r>
      <w:r w:rsidR="00D47325">
        <w:t>]</w:t>
      </w:r>
      <w:r w:rsidR="00791275">
        <w:t>,</w:t>
      </w:r>
      <w:r>
        <w:t xml:space="preserve"> for reasons that </w:t>
      </w:r>
      <w:r w:rsidR="00791275">
        <w:t>have not</w:t>
      </w:r>
      <w:r w:rsidR="006A0897">
        <w:t>, to date,</w:t>
      </w:r>
      <w:r w:rsidR="00791275">
        <w:t xml:space="preserve"> been explored in any detail</w:t>
      </w:r>
      <w:r>
        <w:t>.</w:t>
      </w:r>
    </w:p>
    <w:p w:rsidR="00395CE0" w:rsidRDefault="000E57A2" w:rsidP="000E57A2">
      <w:pPr>
        <w:spacing w:line="360" w:lineRule="auto"/>
      </w:pPr>
      <w:r>
        <w:lastRenderedPageBreak/>
        <w:t>A number of individual factors seem to lead to feeling less prepared for life as a new doctor: scoring</w:t>
      </w:r>
      <w:r w:rsidR="00395CE0">
        <w:t xml:space="preserve"> high in neuroticism</w:t>
      </w:r>
      <w:r w:rsidR="00791275">
        <w:t>, low in</w:t>
      </w:r>
      <w:r>
        <w:t xml:space="preserve"> leadership</w:t>
      </w:r>
      <w:r w:rsidR="00791275">
        <w:t xml:space="preserve"> skills, ability to </w:t>
      </w:r>
      <w:r>
        <w:t>deal with uncertainty</w:t>
      </w:r>
      <w:r w:rsidR="00791275">
        <w:t xml:space="preserve"> and</w:t>
      </w:r>
      <w:r>
        <w:t xml:space="preserve"> prioritise</w:t>
      </w:r>
      <w:r w:rsidR="006A0897">
        <w:t xml:space="preserve"> aspects of patient care </w:t>
      </w:r>
      <w:r w:rsidR="00177EB1">
        <w:t>[</w:t>
      </w:r>
      <w:r w:rsidR="006A0897">
        <w:t>a, e</w:t>
      </w:r>
      <w:r w:rsidR="00177EB1">
        <w:t>]</w:t>
      </w:r>
      <w:r>
        <w:t xml:space="preserve">.  Conversely, having </w:t>
      </w:r>
      <w:r w:rsidR="00395CE0">
        <w:t>high levels of agreeablen</w:t>
      </w:r>
      <w:r w:rsidR="009F46B9">
        <w:t>ess, conscientiousness</w:t>
      </w:r>
      <w:r>
        <w:t>, empathy</w:t>
      </w:r>
      <w:r w:rsidR="009F46B9">
        <w:t xml:space="preserve"> and extra</w:t>
      </w:r>
      <w:r>
        <w:t>version contribute</w:t>
      </w:r>
      <w:r w:rsidR="00395CE0">
        <w:t xml:space="preserve"> to feeling well prepared</w:t>
      </w:r>
      <w:r w:rsidR="009C6DD5">
        <w:t xml:space="preserve"> [</w:t>
      </w:r>
      <w:r w:rsidR="006A0897">
        <w:t>b, e</w:t>
      </w:r>
      <w:r w:rsidR="009C6DD5">
        <w:t>]</w:t>
      </w:r>
      <w:r>
        <w:t>, as do</w:t>
      </w:r>
      <w:r w:rsidR="00791275">
        <w:t>es</w:t>
      </w:r>
      <w:r>
        <w:t xml:space="preserve"> a</w:t>
      </w:r>
      <w:r w:rsidR="00395CE0">
        <w:t>wareness of one</w:t>
      </w:r>
      <w:r>
        <w:t>’</w:t>
      </w:r>
      <w:r w:rsidR="00395CE0">
        <w:t>s limitations</w:t>
      </w:r>
      <w:r w:rsidR="0001660B">
        <w:t xml:space="preserve"> </w:t>
      </w:r>
      <w:r w:rsidR="00177EB1">
        <w:t>[</w:t>
      </w:r>
      <w:r w:rsidR="006A0897">
        <w:t>h</w:t>
      </w:r>
      <w:r w:rsidR="00177EB1">
        <w:t>]</w:t>
      </w:r>
      <w:r w:rsidR="006A0897">
        <w:t xml:space="preserve"> and self-confidence </w:t>
      </w:r>
      <w:r w:rsidR="00177EB1">
        <w:t>[</w:t>
      </w:r>
      <w:r w:rsidR="006A0897">
        <w:t>g</w:t>
      </w:r>
      <w:r w:rsidR="00177EB1">
        <w:t>]</w:t>
      </w:r>
      <w:r w:rsidR="00395CE0">
        <w:t xml:space="preserve">.  </w:t>
      </w:r>
    </w:p>
    <w:p w:rsidR="00395CE0" w:rsidRPr="002250C9" w:rsidRDefault="00AD1F81" w:rsidP="00FB47CB">
      <w:pPr>
        <w:spacing w:line="360" w:lineRule="auto"/>
      </w:pPr>
      <w:r>
        <w:t>A few studies looked at the relationship between</w:t>
      </w:r>
      <w:r w:rsidR="008D0C5A">
        <w:t xml:space="preserve"> demograp</w:t>
      </w:r>
      <w:r w:rsidR="00684CE2">
        <w:t>hic factors (</w:t>
      </w:r>
      <w:r w:rsidR="00791275">
        <w:t>gender, et</w:t>
      </w:r>
      <w:r w:rsidR="006A0897">
        <w:t>hnicity and domestic situation</w:t>
      </w:r>
      <w:r>
        <w:t>)</w:t>
      </w:r>
      <w:r w:rsidR="006A0897">
        <w:t xml:space="preserve"> [b, c, f</w:t>
      </w:r>
      <w:r w:rsidR="0055035F">
        <w:t>]</w:t>
      </w:r>
      <w:r w:rsidR="00684CE2">
        <w:t xml:space="preserve"> and </w:t>
      </w:r>
      <w:r>
        <w:t xml:space="preserve">preparedness but </w:t>
      </w:r>
      <w:r w:rsidR="00684CE2">
        <w:t>it wa</w:t>
      </w:r>
      <w:r w:rsidR="008D0C5A">
        <w:t>s difficult to extract anything conclusive from the</w:t>
      </w:r>
      <w:r w:rsidR="006A0897">
        <w:t xml:space="preserve">se papers due to conflicting </w:t>
      </w:r>
      <w:r w:rsidR="008D0C5A">
        <w:t>results</w:t>
      </w:r>
      <w:r w:rsidR="00395CE0">
        <w:t>.</w:t>
      </w:r>
      <w:r w:rsidR="00DF621C">
        <w:t xml:space="preserve">  For example, Cave and colleagues [b] found that gender and graduate status had no impact on students’ preparedness for practice while Goldacre </w:t>
      </w:r>
      <w:r w:rsidR="00DF621C" w:rsidRPr="00DF621C">
        <w:rPr>
          <w:i/>
        </w:rPr>
        <w:t>et al</w:t>
      </w:r>
      <w:r w:rsidR="00DF621C">
        <w:t>. found the correlations between these variables and preparedness differed between year groups [c].</w:t>
      </w:r>
    </w:p>
    <w:p w:rsidR="00395CE0" w:rsidRPr="0029008E" w:rsidRDefault="00AD1F81" w:rsidP="00FB47CB">
      <w:pPr>
        <w:spacing w:line="360" w:lineRule="auto"/>
        <w:rPr>
          <w:b/>
        </w:rPr>
      </w:pPr>
      <w:r>
        <w:rPr>
          <w:b/>
        </w:rPr>
        <w:br w:type="page"/>
      </w:r>
      <w:r w:rsidR="008D0C5A" w:rsidRPr="0029008E">
        <w:rPr>
          <w:b/>
        </w:rPr>
        <w:lastRenderedPageBreak/>
        <w:t>D</w:t>
      </w:r>
      <w:r w:rsidR="00395CE0" w:rsidRPr="0029008E">
        <w:rPr>
          <w:b/>
        </w:rPr>
        <w:t>iscussion</w:t>
      </w:r>
    </w:p>
    <w:p w:rsidR="004C0B28" w:rsidRDefault="00721E89" w:rsidP="00FB47CB">
      <w:pPr>
        <w:spacing w:line="360" w:lineRule="auto"/>
      </w:pPr>
      <w:r>
        <w:t xml:space="preserve">This review identified that there are remarkably few </w:t>
      </w:r>
      <w:r w:rsidR="000A17D5">
        <w:t xml:space="preserve">empirical </w:t>
      </w:r>
      <w:r>
        <w:t>studies of the important and challenging</w:t>
      </w:r>
      <w:r w:rsidR="00E74EF0" w:rsidRPr="00E74EF0">
        <w:t xml:space="preserve"> transition </w:t>
      </w:r>
      <w:r w:rsidR="00E74EF0">
        <w:t>from student to junior doctor</w:t>
      </w:r>
      <w:r>
        <w:t xml:space="preserve">.  </w:t>
      </w:r>
      <w:r w:rsidR="00A673D2" w:rsidRPr="00A673D2">
        <w:t>Those studies which have been carried out are mostly set in the UK context so may not be generalisable to other countries with different training programmes and healthcare organisation.</w:t>
      </w:r>
      <w:r w:rsidR="004C0B28">
        <w:t xml:space="preserve">  </w:t>
      </w:r>
    </w:p>
    <w:p w:rsidR="00791275" w:rsidRDefault="004C0B28" w:rsidP="006F4F05">
      <w:pPr>
        <w:spacing w:line="360" w:lineRule="auto"/>
      </w:pPr>
      <w:r>
        <w:t xml:space="preserve">The studies </w:t>
      </w:r>
      <w:r w:rsidR="00603E65">
        <w:t>indicate that new doctors</w:t>
      </w:r>
      <w:r w:rsidR="008545F2">
        <w:t xml:space="preserve"> </w:t>
      </w:r>
      <w:r w:rsidR="00603E65">
        <w:t>feel inadequately prepared for practice</w:t>
      </w:r>
      <w:r w:rsidR="000A17D5">
        <w:t xml:space="preserve">, particularly in terms of </w:t>
      </w:r>
      <w:r w:rsidR="009A3694">
        <w:t xml:space="preserve">knowledge and skills, </w:t>
      </w:r>
      <w:r w:rsidR="008545F2">
        <w:t>and perceive a lack of</w:t>
      </w:r>
      <w:r w:rsidR="000A17D5">
        <w:t xml:space="preserve"> </w:t>
      </w:r>
      <w:r w:rsidR="00603E65">
        <w:t xml:space="preserve">organisational </w:t>
      </w:r>
      <w:r w:rsidR="00E515A9">
        <w:t xml:space="preserve">support. </w:t>
      </w:r>
      <w:r w:rsidR="000A17D5">
        <w:t xml:space="preserve">The </w:t>
      </w:r>
      <w:r w:rsidR="00603E65">
        <w:t xml:space="preserve">evidence </w:t>
      </w:r>
      <w:r w:rsidR="00791275">
        <w:t xml:space="preserve">reviewed </w:t>
      </w:r>
      <w:r w:rsidR="00603E65">
        <w:t>suggests that</w:t>
      </w:r>
      <w:r w:rsidR="000A17D5">
        <w:t xml:space="preserve"> organisational factors, namely</w:t>
      </w:r>
      <w:r w:rsidR="0080482B">
        <w:t xml:space="preserve"> the</w:t>
      </w:r>
      <w:r w:rsidR="000A17D5">
        <w:t xml:space="preserve"> </w:t>
      </w:r>
      <w:r>
        <w:t>level of clinical experience, gained through shadowing and/or curricula design which facilitates early exposure</w:t>
      </w:r>
      <w:r w:rsidR="000A17D5">
        <w:t xml:space="preserve">, are important but further work is needed to examine </w:t>
      </w:r>
      <w:r>
        <w:t xml:space="preserve">its </w:t>
      </w:r>
      <w:r w:rsidR="000A17D5">
        <w:t xml:space="preserve">precise benefits.  </w:t>
      </w:r>
      <w:r w:rsidR="00603E65">
        <w:t xml:space="preserve"> </w:t>
      </w:r>
      <w:r w:rsidR="008545F2">
        <w:t xml:space="preserve">Personal qualities such as personality type and factors also seem to impact on the transition.  These </w:t>
      </w:r>
      <w:r w:rsidR="004E333F">
        <w:t>may be at least as</w:t>
      </w:r>
      <w:r w:rsidR="00603E65">
        <w:t xml:space="preserve"> important</w:t>
      </w:r>
      <w:r w:rsidR="000A17D5">
        <w:t xml:space="preserve"> </w:t>
      </w:r>
      <w:r w:rsidR="004E333F">
        <w:t>as organisational factors</w:t>
      </w:r>
      <w:r w:rsidR="004C274A">
        <w:t>.</w:t>
      </w:r>
      <w:r w:rsidR="004E333F">
        <w:t xml:space="preserve"> </w:t>
      </w:r>
      <w:r w:rsidR="004C274A">
        <w:t>However</w:t>
      </w:r>
      <w:r w:rsidR="005D59A7">
        <w:t>,</w:t>
      </w:r>
      <w:r w:rsidR="000A17D5">
        <w:t xml:space="preserve"> most studies to date</w:t>
      </w:r>
      <w:r w:rsidR="00336D69">
        <w:t xml:space="preserve"> that explore</w:t>
      </w:r>
      <w:r w:rsidR="000A17D5">
        <w:t xml:space="preserve"> the relationship between </w:t>
      </w:r>
      <w:r w:rsidR="008545F2">
        <w:t xml:space="preserve">personal </w:t>
      </w:r>
      <w:r w:rsidR="000A17D5">
        <w:t>variables and preparedness have been qualitative and single-site so it is difficult to extrapolate generalisable mess</w:t>
      </w:r>
      <w:r w:rsidR="008545F2">
        <w:t>ages</w:t>
      </w:r>
      <w:r w:rsidR="00603E65">
        <w:t xml:space="preserve">.  </w:t>
      </w:r>
      <w:r w:rsidR="004E333F">
        <w:t xml:space="preserve">The </w:t>
      </w:r>
      <w:r w:rsidR="008545F2">
        <w:t xml:space="preserve">studies reviewed </w:t>
      </w:r>
      <w:r w:rsidR="004E333F">
        <w:t xml:space="preserve">also hint at the need for </w:t>
      </w:r>
      <w:r w:rsidR="00B54D3B">
        <w:t>any interventions t</w:t>
      </w:r>
      <w:r w:rsidR="005C29E8">
        <w:t>hat</w:t>
      </w:r>
      <w:r w:rsidR="00B54D3B">
        <w:t xml:space="preserve"> support the transition to be situated in “real-life” rather in a simulated environment</w:t>
      </w:r>
      <w:r w:rsidR="003F6061">
        <w:t>s</w:t>
      </w:r>
      <w:r w:rsidR="00B54D3B">
        <w:t>, which may pose challenges in busy clinical practice.</w:t>
      </w:r>
      <w:r w:rsidR="006F4F05" w:rsidRPr="006F4F05">
        <w:rPr>
          <w:rFonts w:asciiTheme="minorHAnsi" w:eastAsiaTheme="minorEastAsia" w:hAnsiTheme="minorHAnsi" w:cstheme="minorBidi"/>
          <w:sz w:val="24"/>
          <w:szCs w:val="24"/>
          <w:lang w:eastAsia="en-GB"/>
        </w:rPr>
        <w:t xml:space="preserve"> </w:t>
      </w:r>
      <w:r w:rsidR="006F4F05">
        <w:rPr>
          <w:rFonts w:asciiTheme="minorHAnsi" w:eastAsiaTheme="minorEastAsia" w:hAnsiTheme="minorHAnsi" w:cstheme="minorBidi"/>
          <w:sz w:val="24"/>
          <w:szCs w:val="24"/>
          <w:lang w:eastAsia="en-GB"/>
        </w:rPr>
        <w:t xml:space="preserve"> </w:t>
      </w:r>
      <w:r w:rsidR="006F4F05" w:rsidRPr="006F4F05">
        <w:t>The ideal outcome measure in this area would be preparedness regarding the transition from student to junior doctor.  However this entity is difficult to quantify</w:t>
      </w:r>
      <w:r w:rsidR="003F6061">
        <w:t xml:space="preserve"> and i</w:t>
      </w:r>
      <w:r w:rsidR="006F4F05" w:rsidRPr="006F4F05">
        <w:t xml:space="preserve">t is important to consider preparedness from various perspectives </w:t>
      </w:r>
      <w:r w:rsidR="003F6061">
        <w:t>(</w:t>
      </w:r>
      <w:r w:rsidR="006F4F05" w:rsidRPr="006F4F05">
        <w:t xml:space="preserve">eg.  </w:t>
      </w:r>
      <w:r w:rsidR="003F6061">
        <w:t>s</w:t>
      </w:r>
      <w:r w:rsidR="006F4F05" w:rsidRPr="006F4F05">
        <w:t>tudent, mentor, patient</w:t>
      </w:r>
      <w:r w:rsidR="003F6061">
        <w:t>)</w:t>
      </w:r>
      <w:r w:rsidR="006F4F05" w:rsidRPr="006F4F05">
        <w:t xml:space="preserve"> and </w:t>
      </w:r>
      <w:r w:rsidR="003F6061">
        <w:t xml:space="preserve">time points, given the perceptions of preparedness may differ between junior doctors and their supervisors.  </w:t>
      </w:r>
    </w:p>
    <w:p w:rsidR="004C12FA" w:rsidRDefault="00512D58" w:rsidP="004C0B28">
      <w:pPr>
        <w:spacing w:line="360" w:lineRule="auto"/>
      </w:pPr>
      <w:r>
        <w:t xml:space="preserve">To the best of our knowledge, no study has followed up senior medical students from prior to the transition to junior doctor, and through the first years of training.  Only by doing </w:t>
      </w:r>
      <w:r w:rsidR="004C0B28">
        <w:t xml:space="preserve">well-planned, </w:t>
      </w:r>
      <w:r>
        <w:t xml:space="preserve">prospective longitudinal studies, both qualitative and quantitative, can we identify what precise factors </w:t>
      </w:r>
      <w:r w:rsidR="00BF6D86">
        <w:t>make a</w:t>
      </w:r>
      <w:r w:rsidR="00603E65">
        <w:t xml:space="preserve"> difference to the transition. </w:t>
      </w:r>
      <w:r w:rsidR="004C0B28">
        <w:t xml:space="preserve">  </w:t>
      </w:r>
      <w:r w:rsidR="004C12FA">
        <w:rPr>
          <w:lang w:val="en-US"/>
        </w:rPr>
        <w:t>Existing approaches to supporting medical students in the transition to junior doctor must be evaluated and n</w:t>
      </w:r>
      <w:r w:rsidR="004C12FA" w:rsidRPr="006A2336">
        <w:rPr>
          <w:lang w:val="en-US"/>
        </w:rPr>
        <w:t xml:space="preserve">ew </w:t>
      </w:r>
      <w:r w:rsidR="00C07876">
        <w:rPr>
          <w:lang w:val="en-US"/>
        </w:rPr>
        <w:t>method</w:t>
      </w:r>
      <w:r w:rsidR="004C12FA" w:rsidRPr="006A2336">
        <w:rPr>
          <w:lang w:val="en-US"/>
        </w:rPr>
        <w:t xml:space="preserve">s </w:t>
      </w:r>
      <w:r w:rsidR="004C12FA">
        <w:rPr>
          <w:lang w:val="en-US"/>
        </w:rPr>
        <w:t>developed</w:t>
      </w:r>
      <w:r w:rsidR="00C07876">
        <w:rPr>
          <w:lang w:val="en-US"/>
        </w:rPr>
        <w:t>.</w:t>
      </w:r>
      <w:r w:rsidR="004C12FA">
        <w:rPr>
          <w:lang w:val="en-US"/>
        </w:rPr>
        <w:t xml:space="preserve"> </w:t>
      </w:r>
      <w:r w:rsidR="00C07876">
        <w:rPr>
          <w:lang w:val="en-US"/>
        </w:rPr>
        <w:t>Any new approaches should be appraised</w:t>
      </w:r>
      <w:r w:rsidR="005D59A7">
        <w:rPr>
          <w:lang w:val="en-US"/>
        </w:rPr>
        <w:t xml:space="preserve"> </w:t>
      </w:r>
      <w:r w:rsidR="004C12FA">
        <w:rPr>
          <w:lang w:val="en-US"/>
        </w:rPr>
        <w:t xml:space="preserve">using intervention methodology which leads itself </w:t>
      </w:r>
      <w:r w:rsidR="006667CD">
        <w:rPr>
          <w:lang w:val="en-US"/>
        </w:rPr>
        <w:t>to robust evaluation but yet acknowledges the</w:t>
      </w:r>
      <w:r w:rsidR="004C0B28">
        <w:rPr>
          <w:lang w:val="en-US"/>
        </w:rPr>
        <w:t xml:space="preserve"> role of </w:t>
      </w:r>
      <w:r w:rsidR="006667CD">
        <w:rPr>
          <w:lang w:val="en-US"/>
        </w:rPr>
        <w:t>context</w:t>
      </w:r>
      <w:r w:rsidR="00C05A6C">
        <w:rPr>
          <w:lang w:val="en-US"/>
        </w:rPr>
        <w:t>. This will allow us</w:t>
      </w:r>
      <w:r w:rsidR="008545F2">
        <w:rPr>
          <w:lang w:val="en-US"/>
        </w:rPr>
        <w:t xml:space="preserve"> to progress our knowledge of what does and does not work</w:t>
      </w:r>
      <w:r w:rsidR="00C05A6C">
        <w:rPr>
          <w:lang w:val="en-US"/>
        </w:rPr>
        <w:t xml:space="preserve"> in certain settings</w:t>
      </w:r>
      <w:r w:rsidR="008545F2">
        <w:rPr>
          <w:lang w:val="en-US"/>
        </w:rPr>
        <w:t xml:space="preserve">.  </w:t>
      </w:r>
      <w:r w:rsidR="008545F2">
        <w:t>Such</w:t>
      </w:r>
      <w:r w:rsidR="004C12FA">
        <w:rPr>
          <w:lang w:val="en-US"/>
        </w:rPr>
        <w:t xml:space="preserve"> </w:t>
      </w:r>
      <w:r w:rsidR="009A3694">
        <w:rPr>
          <w:lang w:val="en-US"/>
        </w:rPr>
        <w:t>interventions may usefully draw from r</w:t>
      </w:r>
      <w:r w:rsidR="004C12FA" w:rsidRPr="006A2336">
        <w:rPr>
          <w:lang w:val="en-US"/>
        </w:rPr>
        <w:t>ecogni</w:t>
      </w:r>
      <w:r w:rsidR="00997D44">
        <w:rPr>
          <w:lang w:val="en-US"/>
        </w:rPr>
        <w:t>s</w:t>
      </w:r>
      <w:r w:rsidR="004C12FA" w:rsidRPr="006A2336">
        <w:rPr>
          <w:lang w:val="en-US"/>
        </w:rPr>
        <w:t xml:space="preserve">ed theories of </w:t>
      </w:r>
      <w:r w:rsidR="004C12FA">
        <w:rPr>
          <w:lang w:val="en-US"/>
        </w:rPr>
        <w:t>managing change at an individual and organi</w:t>
      </w:r>
      <w:r w:rsidR="00997D44">
        <w:rPr>
          <w:lang w:val="en-US"/>
        </w:rPr>
        <w:t>s</w:t>
      </w:r>
      <w:r w:rsidR="004C12FA">
        <w:rPr>
          <w:lang w:val="en-US"/>
        </w:rPr>
        <w:t>ational level</w:t>
      </w:r>
      <w:r w:rsidR="006667CD">
        <w:t xml:space="preserve">.  </w:t>
      </w:r>
    </w:p>
    <w:p w:rsidR="008545F2" w:rsidRDefault="008545F2" w:rsidP="004C0B28">
      <w:pPr>
        <w:spacing w:line="360" w:lineRule="auto"/>
      </w:pPr>
    </w:p>
    <w:p w:rsidR="008777C8" w:rsidRDefault="008777C8" w:rsidP="00E16F2C">
      <w:pPr>
        <w:spacing w:line="360" w:lineRule="auto"/>
        <w:ind w:right="1134"/>
        <w:rPr>
          <w:b/>
          <w:u w:val="single"/>
        </w:rPr>
      </w:pPr>
    </w:p>
    <w:p w:rsidR="00E16F2C" w:rsidRPr="004C0B28" w:rsidRDefault="00EE4C18" w:rsidP="00E16F2C">
      <w:pPr>
        <w:spacing w:line="360" w:lineRule="auto"/>
        <w:ind w:right="1134"/>
        <w:rPr>
          <w:b/>
        </w:rPr>
      </w:pPr>
      <w:r>
        <w:rPr>
          <w:b/>
          <w:u w:val="single"/>
        </w:rPr>
        <w:br w:type="page"/>
      </w:r>
      <w:r w:rsidR="00E16F2C" w:rsidRPr="004C0B28">
        <w:rPr>
          <w:b/>
        </w:rPr>
        <w:lastRenderedPageBreak/>
        <w:t>References</w:t>
      </w:r>
    </w:p>
    <w:p w:rsidR="004222F1" w:rsidRDefault="008777C8">
      <w:pPr>
        <w:pStyle w:val="ListParagraph"/>
        <w:numPr>
          <w:ilvl w:val="0"/>
          <w:numId w:val="5"/>
        </w:numPr>
        <w:autoSpaceDE w:val="0"/>
        <w:autoSpaceDN w:val="0"/>
        <w:adjustRightInd w:val="0"/>
        <w:spacing w:after="0" w:line="360" w:lineRule="auto"/>
        <w:rPr>
          <w:rFonts w:cs="AdvPSNBAS-R"/>
        </w:rPr>
      </w:pPr>
      <w:r w:rsidRPr="00187D52">
        <w:rPr>
          <w:rFonts w:cs="AdvPSNBAS-R"/>
        </w:rPr>
        <w:t>Fisher</w:t>
      </w:r>
      <w:r>
        <w:rPr>
          <w:rFonts w:cs="AdvPSNBAS-R"/>
        </w:rPr>
        <w:t>,</w:t>
      </w:r>
      <w:r w:rsidRPr="00187D52">
        <w:rPr>
          <w:rFonts w:cs="AdvPSNBAS-R"/>
        </w:rPr>
        <w:t xml:space="preserve"> CD. Organisational socialisation: an integrative review.  </w:t>
      </w:r>
      <w:r w:rsidRPr="00187D52">
        <w:rPr>
          <w:rFonts w:cs="AdvPS-NBI"/>
        </w:rPr>
        <w:t>Res</w:t>
      </w:r>
      <w:r>
        <w:rPr>
          <w:rFonts w:cs="AdvPS-NBI"/>
        </w:rPr>
        <w:t xml:space="preserve">earch in </w:t>
      </w:r>
      <w:r w:rsidRPr="00187D52">
        <w:rPr>
          <w:rFonts w:cs="AdvPS-NBI"/>
        </w:rPr>
        <w:t>Pers</w:t>
      </w:r>
      <w:r>
        <w:rPr>
          <w:rFonts w:cs="AdvPS-NBI"/>
        </w:rPr>
        <w:t>onnel and</w:t>
      </w:r>
      <w:r w:rsidRPr="00187D52">
        <w:rPr>
          <w:rFonts w:cs="AdvPS-NBI"/>
        </w:rPr>
        <w:t xml:space="preserve"> Hum</w:t>
      </w:r>
      <w:r>
        <w:rPr>
          <w:rFonts w:cs="AdvPS-NBI"/>
        </w:rPr>
        <w:t>an</w:t>
      </w:r>
      <w:r w:rsidRPr="00187D52">
        <w:rPr>
          <w:rFonts w:cs="AdvPS-NBI"/>
        </w:rPr>
        <w:t xml:space="preserve"> Resour</w:t>
      </w:r>
      <w:r>
        <w:rPr>
          <w:rFonts w:cs="AdvPS-NBI"/>
        </w:rPr>
        <w:t>ces</w:t>
      </w:r>
      <w:r w:rsidRPr="00187D52">
        <w:rPr>
          <w:rFonts w:cs="AdvPS-NBI"/>
        </w:rPr>
        <w:t xml:space="preserve"> Manage</w:t>
      </w:r>
      <w:r>
        <w:rPr>
          <w:rFonts w:cs="AdvPS-NBI"/>
        </w:rPr>
        <w:t>ment.</w:t>
      </w:r>
      <w:r w:rsidRPr="00187D52">
        <w:rPr>
          <w:rFonts w:cs="AdvPS-NBI"/>
        </w:rPr>
        <w:t xml:space="preserve"> </w:t>
      </w:r>
      <w:r w:rsidRPr="00187D52">
        <w:rPr>
          <w:rFonts w:cs="AdvPSNBAS-R"/>
        </w:rPr>
        <w:t>1986;</w:t>
      </w:r>
      <w:r>
        <w:rPr>
          <w:rFonts w:cs="AdvPSNBAS-R"/>
        </w:rPr>
        <w:t xml:space="preserve"> </w:t>
      </w:r>
      <w:r w:rsidRPr="00187D52">
        <w:rPr>
          <w:rFonts w:cs="AdvPSNBAS-B"/>
        </w:rPr>
        <w:t>4</w:t>
      </w:r>
      <w:r w:rsidRPr="00187D52">
        <w:rPr>
          <w:rFonts w:cs="AdvPSNBAS-R"/>
        </w:rPr>
        <w:t>:</w:t>
      </w:r>
      <w:r>
        <w:rPr>
          <w:rFonts w:cs="AdvPSNBAS-R"/>
        </w:rPr>
        <w:t xml:space="preserve"> </w:t>
      </w:r>
      <w:r w:rsidRPr="00187D52">
        <w:rPr>
          <w:rFonts w:cs="AdvPSNBAS-R"/>
        </w:rPr>
        <w:t>101–45.</w:t>
      </w:r>
    </w:p>
    <w:p w:rsidR="00E16F2C" w:rsidRDefault="00E16F2C" w:rsidP="00847552">
      <w:pPr>
        <w:pStyle w:val="ListParagraph"/>
        <w:numPr>
          <w:ilvl w:val="0"/>
          <w:numId w:val="5"/>
        </w:numPr>
        <w:autoSpaceDE w:val="0"/>
        <w:autoSpaceDN w:val="0"/>
        <w:adjustRightInd w:val="0"/>
        <w:spacing w:after="0" w:line="360" w:lineRule="auto"/>
        <w:ind w:right="1134"/>
        <w:rPr>
          <w:rFonts w:cs="AdvChianBT_b"/>
        </w:rPr>
      </w:pPr>
      <w:r w:rsidRPr="00496382">
        <w:rPr>
          <w:rFonts w:cs="AdvPSNBAS-R"/>
        </w:rPr>
        <w:t xml:space="preserve"> Teunissen, P</w:t>
      </w:r>
      <w:r>
        <w:rPr>
          <w:rFonts w:cs="AdvPSNBAS-R"/>
        </w:rPr>
        <w:t xml:space="preserve"> W.  Westerman, M.</w:t>
      </w:r>
      <w:r w:rsidRPr="00496382">
        <w:rPr>
          <w:rFonts w:cs="AdvPSNBAS-R"/>
        </w:rPr>
        <w:t xml:space="preserve">  </w:t>
      </w:r>
      <w:r w:rsidRPr="00496382">
        <w:rPr>
          <w:rFonts w:cs="AdvChianBT_b"/>
        </w:rPr>
        <w:t xml:space="preserve">Junior doctors caught in the clash: the transition </w:t>
      </w:r>
      <w:r w:rsidRPr="00B64450">
        <w:rPr>
          <w:rFonts w:cs="AdvChianBT_b"/>
        </w:rPr>
        <w:t xml:space="preserve">from learning to working explored.  </w:t>
      </w:r>
      <w:r w:rsidRPr="00115058">
        <w:rPr>
          <w:rFonts w:cs="AdvChianBT_b"/>
        </w:rPr>
        <w:t>Medical Education.</w:t>
      </w:r>
      <w:r w:rsidRPr="00B64450">
        <w:rPr>
          <w:rFonts w:cs="AdvChianBT_b"/>
        </w:rPr>
        <w:t xml:space="preserve">  </w:t>
      </w:r>
      <w:r>
        <w:rPr>
          <w:rFonts w:cs="AdvChianBT_b"/>
        </w:rPr>
        <w:t xml:space="preserve">2011; </w:t>
      </w:r>
      <w:r w:rsidRPr="00B64450">
        <w:rPr>
          <w:rFonts w:cs="AdvChianBT_b"/>
        </w:rPr>
        <w:t>45 (1)</w:t>
      </w:r>
      <w:r>
        <w:rPr>
          <w:rFonts w:cs="AdvChianBT_b"/>
        </w:rPr>
        <w:t>:</w:t>
      </w:r>
      <w:r w:rsidRPr="00B64450">
        <w:rPr>
          <w:rFonts w:cs="AdvChianBT_b"/>
        </w:rPr>
        <w:t xml:space="preserve"> 966-972</w:t>
      </w:r>
      <w:r>
        <w:rPr>
          <w:rFonts w:cs="AdvChianBT_b"/>
        </w:rPr>
        <w:t>.</w:t>
      </w:r>
    </w:p>
    <w:p w:rsidR="00E16F2C" w:rsidRPr="00B64450" w:rsidRDefault="00E16F2C">
      <w:pPr>
        <w:pStyle w:val="ListParagraph"/>
        <w:numPr>
          <w:ilvl w:val="0"/>
          <w:numId w:val="5"/>
        </w:numPr>
        <w:autoSpaceDE w:val="0"/>
        <w:autoSpaceDN w:val="0"/>
        <w:adjustRightInd w:val="0"/>
        <w:spacing w:after="0" w:line="360" w:lineRule="auto"/>
        <w:ind w:right="1134"/>
        <w:rPr>
          <w:rFonts w:cs="AdvChianBT_b"/>
        </w:rPr>
      </w:pPr>
      <w:r>
        <w:rPr>
          <w:rFonts w:cs="AdvChianBT_b"/>
        </w:rPr>
        <w:t xml:space="preserve">Teunissen, P W.  Westerman, M.  Opportunity or threat:  The ambiguity of the consequences of transitions in medical education.  </w:t>
      </w:r>
      <w:r w:rsidRPr="00115058">
        <w:rPr>
          <w:rFonts w:cs="AdvChianBT_b"/>
        </w:rPr>
        <w:t>Medical Education</w:t>
      </w:r>
      <w:r>
        <w:rPr>
          <w:rFonts w:cs="AdvChianBT_b"/>
        </w:rPr>
        <w:t>.  2011; 45 (1): 51-59.</w:t>
      </w:r>
    </w:p>
    <w:p w:rsidR="004222F1" w:rsidRDefault="00E16F2C">
      <w:pPr>
        <w:pStyle w:val="ListParagraph"/>
        <w:numPr>
          <w:ilvl w:val="0"/>
          <w:numId w:val="5"/>
        </w:numPr>
        <w:spacing w:line="360" w:lineRule="auto"/>
        <w:ind w:right="1134"/>
      </w:pPr>
      <w:r w:rsidRPr="00E35E44">
        <w:rPr>
          <w:color w:val="000000"/>
        </w:rPr>
        <w:t xml:space="preserve"> Kilminster, S</w:t>
      </w:r>
      <w:r>
        <w:rPr>
          <w:color w:val="000000"/>
        </w:rPr>
        <w:t xml:space="preserve">.  Zukas, M.  Quintin, N.  Roberst, T.  </w:t>
      </w:r>
      <w:r w:rsidRPr="00E35E44">
        <w:rPr>
          <w:color w:val="000000"/>
        </w:rPr>
        <w:t>Preparedness is not enough: understanding transitions as critically intensive learning periods</w:t>
      </w:r>
      <w:r w:rsidRPr="00115058">
        <w:rPr>
          <w:color w:val="000000"/>
        </w:rPr>
        <w:t>.</w:t>
      </w:r>
      <w:r w:rsidRPr="00115058">
        <w:rPr>
          <w:rStyle w:val="apple-converted-space"/>
          <w:color w:val="000000"/>
        </w:rPr>
        <w:t> </w:t>
      </w:r>
      <w:r w:rsidRPr="00115058">
        <w:rPr>
          <w:iCs/>
          <w:color w:val="000000"/>
        </w:rPr>
        <w:t>Medical Education</w:t>
      </w:r>
      <w:r w:rsidRPr="00115058">
        <w:rPr>
          <w:color w:val="000000"/>
        </w:rPr>
        <w:t>.</w:t>
      </w:r>
      <w:r>
        <w:rPr>
          <w:color w:val="000000"/>
        </w:rPr>
        <w:t xml:space="preserve">  2011; 45 (1):</w:t>
      </w:r>
      <w:r w:rsidRPr="00187D52">
        <w:rPr>
          <w:color w:val="000000"/>
        </w:rPr>
        <w:t>1006-1015.</w:t>
      </w:r>
    </w:p>
    <w:p w:rsidR="004222F1" w:rsidRDefault="00E16F2C">
      <w:pPr>
        <w:pStyle w:val="ListParagraph"/>
        <w:numPr>
          <w:ilvl w:val="0"/>
          <w:numId w:val="5"/>
        </w:numPr>
        <w:spacing w:line="360" w:lineRule="auto"/>
        <w:ind w:right="1134"/>
      </w:pPr>
      <w:r>
        <w:rPr>
          <w:color w:val="000000"/>
        </w:rPr>
        <w:t>Prince, K</w:t>
      </w:r>
      <w:r w:rsidRPr="00187D52">
        <w:rPr>
          <w:color w:val="000000"/>
        </w:rPr>
        <w:t xml:space="preserve"> J A</w:t>
      </w:r>
      <w:r>
        <w:rPr>
          <w:color w:val="000000"/>
        </w:rPr>
        <w:t>. Van de Weil, M.  van der Vleuten, C.  Boshuizen, H.  Scherpbier, A</w:t>
      </w:r>
      <w:r w:rsidRPr="00187D52">
        <w:rPr>
          <w:i/>
          <w:color w:val="000000"/>
        </w:rPr>
        <w:t>.</w:t>
      </w:r>
      <w:r w:rsidRPr="00187D52">
        <w:rPr>
          <w:color w:val="000000"/>
        </w:rPr>
        <w:t xml:space="preserve">  Junior doctors opinions about the transition from medical school to clinical practice:  A change of environment.  Education for Health</w:t>
      </w:r>
      <w:r>
        <w:rPr>
          <w:color w:val="000000"/>
        </w:rPr>
        <w:t>. 2004</w:t>
      </w:r>
      <w:r w:rsidRPr="00187D52">
        <w:rPr>
          <w:color w:val="000000"/>
        </w:rPr>
        <w:t xml:space="preserve">; 17 (3), 323-331. </w:t>
      </w:r>
    </w:p>
    <w:p w:rsidR="004222F1" w:rsidRDefault="00E16F2C">
      <w:pPr>
        <w:pStyle w:val="ListParagraph"/>
        <w:numPr>
          <w:ilvl w:val="0"/>
          <w:numId w:val="5"/>
        </w:numPr>
        <w:spacing w:line="360" w:lineRule="auto"/>
        <w:ind w:right="1134"/>
      </w:pPr>
      <w:r>
        <w:rPr>
          <w:color w:val="000000"/>
        </w:rPr>
        <w:t>Tallentire, V</w:t>
      </w:r>
      <w:r w:rsidRPr="00187D52">
        <w:rPr>
          <w:color w:val="000000"/>
        </w:rPr>
        <w:t>R</w:t>
      </w:r>
      <w:r>
        <w:rPr>
          <w:color w:val="000000"/>
        </w:rPr>
        <w:t>,</w:t>
      </w:r>
      <w:r w:rsidRPr="00187D52">
        <w:rPr>
          <w:color w:val="000000"/>
        </w:rPr>
        <w:t xml:space="preserve"> </w:t>
      </w:r>
      <w:r>
        <w:rPr>
          <w:color w:val="000000"/>
        </w:rPr>
        <w:t>Smith, SE.  Skinner, J.  Cameron, HS</w:t>
      </w:r>
      <w:r w:rsidRPr="00187D52">
        <w:rPr>
          <w:i/>
          <w:color w:val="000000"/>
        </w:rPr>
        <w:t xml:space="preserve">.  </w:t>
      </w:r>
      <w:r w:rsidRPr="00187D52">
        <w:rPr>
          <w:color w:val="000000"/>
        </w:rPr>
        <w:t xml:space="preserve">Understanding the behaviour of newly qualified doctors in acute care contexts.  </w:t>
      </w:r>
      <w:r w:rsidRPr="00115058">
        <w:rPr>
          <w:color w:val="000000"/>
        </w:rPr>
        <w:t xml:space="preserve">Journal of medical education. </w:t>
      </w:r>
      <w:r w:rsidRPr="00187D52">
        <w:rPr>
          <w:i/>
          <w:color w:val="000000"/>
        </w:rPr>
        <w:t xml:space="preserve"> </w:t>
      </w:r>
      <w:r>
        <w:rPr>
          <w:color w:val="000000"/>
        </w:rPr>
        <w:t>2011; 45 (1):</w:t>
      </w:r>
      <w:r w:rsidRPr="00187D52">
        <w:rPr>
          <w:color w:val="000000"/>
        </w:rPr>
        <w:t xml:space="preserve"> 995-1005.</w:t>
      </w:r>
    </w:p>
    <w:p w:rsidR="004222F1" w:rsidRDefault="00847552">
      <w:pPr>
        <w:pStyle w:val="ListParagraph"/>
        <w:numPr>
          <w:ilvl w:val="0"/>
          <w:numId w:val="5"/>
        </w:numPr>
        <w:spacing w:line="360" w:lineRule="auto"/>
        <w:rPr>
          <w:rFonts w:cs="Arial"/>
        </w:rPr>
      </w:pPr>
      <w:r w:rsidRPr="00E468CC">
        <w:rPr>
          <w:rFonts w:cs="AdvPSNBAS-R"/>
        </w:rPr>
        <w:t xml:space="preserve">Wilkinson, T. J Harris </w:t>
      </w:r>
      <w:r w:rsidRPr="00E468CC">
        <w:rPr>
          <w:rFonts w:cs="AdvPSNBAS-R"/>
          <w:i/>
        </w:rPr>
        <w:t xml:space="preserve">P.  </w:t>
      </w:r>
      <w:r w:rsidRPr="00E468CC">
        <w:rPr>
          <w:rFonts w:cs="AdvPSNBAS-R"/>
        </w:rPr>
        <w:t>The transition out of medical school – a qualitative study of descriptions of borderline trainee interns.  Medical Educatio</w:t>
      </w:r>
      <w:r w:rsidRPr="00E468CC">
        <w:rPr>
          <w:rFonts w:cs="AdvPSNBAS-R"/>
          <w:i/>
        </w:rPr>
        <w:t xml:space="preserve">n.  </w:t>
      </w:r>
      <w:r w:rsidRPr="00E468CC">
        <w:rPr>
          <w:rFonts w:cs="AdvPSNBAS-R"/>
        </w:rPr>
        <w:t>2002; 36: 466-471</w:t>
      </w:r>
      <w:r w:rsidRPr="00E468CC">
        <w:rPr>
          <w:rFonts w:cs="Arial"/>
        </w:rPr>
        <w:t>.</w:t>
      </w:r>
    </w:p>
    <w:p w:rsidR="004222F1" w:rsidRDefault="00E16F2C">
      <w:pPr>
        <w:pStyle w:val="ListParagraph"/>
        <w:numPr>
          <w:ilvl w:val="0"/>
          <w:numId w:val="5"/>
        </w:numPr>
        <w:spacing w:line="360" w:lineRule="auto"/>
        <w:rPr>
          <w:rFonts w:cs="Arial"/>
        </w:rPr>
      </w:pPr>
      <w:r w:rsidRPr="00187D52">
        <w:rPr>
          <w:rFonts w:cs="AdvPSNBAS-R"/>
        </w:rPr>
        <w:t xml:space="preserve">General Medical Council. </w:t>
      </w:r>
      <w:r w:rsidRPr="00187D52">
        <w:rPr>
          <w:rFonts w:cs="AdvPS-NBI"/>
        </w:rPr>
        <w:t>Tomorrow’s Doctors</w:t>
      </w:r>
      <w:r w:rsidRPr="00187D52">
        <w:rPr>
          <w:rFonts w:cs="AdvPSNBAS-R"/>
        </w:rPr>
        <w:t>. London: GMC 2009.</w:t>
      </w:r>
    </w:p>
    <w:p w:rsidR="004222F1" w:rsidRDefault="00E16F2C">
      <w:pPr>
        <w:pStyle w:val="ListParagraph"/>
        <w:numPr>
          <w:ilvl w:val="0"/>
          <w:numId w:val="5"/>
        </w:numPr>
        <w:spacing w:line="360" w:lineRule="auto"/>
        <w:rPr>
          <w:rFonts w:cs="Arial"/>
        </w:rPr>
      </w:pPr>
      <w:r>
        <w:t xml:space="preserve">Des Jarlais, D. C., Lyles, C., Crepaz, N., &amp; the Trend Group. Improving the reporting quality of nonrandomized evaluations of behavioral and public health interventions: The TREND statement. </w:t>
      </w:r>
      <w:r w:rsidRPr="00115058">
        <w:rPr>
          <w:iCs/>
        </w:rPr>
        <w:t>American Journal of Public Health</w:t>
      </w:r>
      <w:r>
        <w:rPr>
          <w:iCs/>
        </w:rPr>
        <w:t>. 2004;</w:t>
      </w:r>
      <w:r>
        <w:t xml:space="preserve"> 94: 361-366. </w:t>
      </w:r>
    </w:p>
    <w:p w:rsidR="004222F1" w:rsidRDefault="00E16F2C">
      <w:pPr>
        <w:pStyle w:val="ListParagraph"/>
        <w:numPr>
          <w:ilvl w:val="0"/>
          <w:numId w:val="5"/>
        </w:numPr>
        <w:shd w:val="clear" w:color="auto" w:fill="FFFFFF"/>
        <w:tabs>
          <w:tab w:val="left" w:pos="709"/>
        </w:tabs>
        <w:spacing w:before="300" w:after="300" w:line="360" w:lineRule="auto"/>
        <w:ind w:right="-46"/>
      </w:pPr>
      <w:r w:rsidRPr="00DF621C">
        <w:t xml:space="preserve">National Collaborating Centre for Methods and Tools 2011. </w:t>
      </w:r>
      <w:r w:rsidRPr="00DF621C">
        <w:rPr>
          <w:iCs/>
        </w:rPr>
        <w:t>Critical appraisal tools to make sense of evidence</w:t>
      </w:r>
      <w:r w:rsidRPr="00DF621C">
        <w:t>. Hamilton, ON: McMaster University. (Updated 16 December, 2011). Retrieved from http://www.nccmt.ca/registry/view/eng/87.html. Acces</w:t>
      </w:r>
      <w:r w:rsidR="0043234F" w:rsidRPr="00DF621C">
        <w:t>sed  15/05/2012</w:t>
      </w:r>
    </w:p>
    <w:p w:rsidR="004222F1" w:rsidRDefault="004222F1">
      <w:pPr>
        <w:pStyle w:val="ListParagraph"/>
        <w:shd w:val="clear" w:color="auto" w:fill="FFFFFF"/>
        <w:tabs>
          <w:tab w:val="left" w:pos="709"/>
        </w:tabs>
        <w:spacing w:before="300" w:after="300" w:line="360" w:lineRule="auto"/>
        <w:ind w:right="-46"/>
      </w:pPr>
    </w:p>
    <w:p w:rsidR="009A3694" w:rsidRPr="00DF621C" w:rsidRDefault="009A3694" w:rsidP="009A3694">
      <w:pPr>
        <w:pStyle w:val="ListParagraph"/>
        <w:spacing w:line="360" w:lineRule="auto"/>
        <w:ind w:left="0"/>
        <w:rPr>
          <w:b/>
        </w:rPr>
      </w:pPr>
    </w:p>
    <w:p w:rsidR="00367320" w:rsidRDefault="008777C8" w:rsidP="002E2F02">
      <w:pPr>
        <w:pStyle w:val="ListParagraph"/>
        <w:spacing w:line="360" w:lineRule="auto"/>
        <w:ind w:left="0"/>
        <w:rPr>
          <w:b/>
        </w:rPr>
      </w:pPr>
      <w:r w:rsidRPr="00DF621C">
        <w:rPr>
          <w:b/>
        </w:rPr>
        <w:br w:type="page"/>
      </w:r>
      <w:r w:rsidR="006A0897">
        <w:rPr>
          <w:b/>
        </w:rPr>
        <w:lastRenderedPageBreak/>
        <w:t>Tabl</w:t>
      </w:r>
      <w:r w:rsidR="002E2F02">
        <w:rPr>
          <w:b/>
        </w:rPr>
        <w:t xml:space="preserve">e 2: </w:t>
      </w:r>
      <w:r w:rsidR="009A3694" w:rsidRPr="009A3694">
        <w:rPr>
          <w:b/>
        </w:rPr>
        <w:t>Studies in</w:t>
      </w:r>
      <w:r w:rsidR="002E2F02">
        <w:rPr>
          <w:b/>
        </w:rPr>
        <w:t>cluded in</w:t>
      </w:r>
      <w:r w:rsidR="009A3694" w:rsidRPr="009A3694">
        <w:rPr>
          <w:b/>
        </w:rPr>
        <w:t xml:space="preserve"> the review</w:t>
      </w:r>
    </w:p>
    <w:p w:rsidR="002E2F02" w:rsidRPr="00803E00" w:rsidRDefault="002E2F02" w:rsidP="002E2F02">
      <w:pPr>
        <w:pStyle w:val="ListParagraph"/>
        <w:spacing w:line="360" w:lineRule="auto"/>
        <w:ind w:left="0"/>
        <w:rPr>
          <w:rFonts w:cs="Arial"/>
          <w:b/>
        </w:rPr>
      </w:pPr>
    </w:p>
    <w:p w:rsidR="002E2F02" w:rsidRDefault="002E2F02" w:rsidP="002E2F02">
      <w:pPr>
        <w:pStyle w:val="ListParagraph"/>
        <w:numPr>
          <w:ilvl w:val="0"/>
          <w:numId w:val="21"/>
        </w:numPr>
        <w:spacing w:line="360" w:lineRule="auto"/>
        <w:rPr>
          <w:rFonts w:cs="Arial"/>
        </w:rPr>
      </w:pPr>
      <w:r>
        <w:rPr>
          <w:rFonts w:cs="Arial"/>
        </w:rPr>
        <w:t xml:space="preserve">Brennan, N.  Corrigan, O.  Allard, J.  Archer, J.  Barnes, R.  Bleakley, A.  Collett, T.  Regan de Bere, S.  The transition from medical student to junior doctor: Todays experiences of tomorrows doctors.  </w:t>
      </w:r>
      <w:r w:rsidRPr="00115058">
        <w:rPr>
          <w:rFonts w:cs="Arial"/>
        </w:rPr>
        <w:t>Medical Education</w:t>
      </w:r>
      <w:r>
        <w:rPr>
          <w:rFonts w:cs="Arial"/>
          <w:i/>
        </w:rPr>
        <w:t xml:space="preserve">.  </w:t>
      </w:r>
      <w:r>
        <w:rPr>
          <w:rFonts w:cs="Arial"/>
        </w:rPr>
        <w:t>2010; 44: 449-458.</w:t>
      </w:r>
    </w:p>
    <w:p w:rsidR="002E2F02" w:rsidRDefault="00E468CC" w:rsidP="002E2F02">
      <w:pPr>
        <w:pStyle w:val="ListParagraph"/>
        <w:numPr>
          <w:ilvl w:val="0"/>
          <w:numId w:val="21"/>
        </w:numPr>
        <w:spacing w:line="360" w:lineRule="auto"/>
        <w:ind w:right="1134"/>
      </w:pPr>
      <w:r w:rsidRPr="00E35E44">
        <w:rPr>
          <w:color w:val="000000"/>
        </w:rPr>
        <w:t>Cave,  J</w:t>
      </w:r>
      <w:r>
        <w:rPr>
          <w:color w:val="000000"/>
        </w:rPr>
        <w:t>.</w:t>
      </w:r>
      <w:r w:rsidRPr="00E35E44">
        <w:rPr>
          <w:color w:val="000000"/>
        </w:rPr>
        <w:t xml:space="preserve"> </w:t>
      </w:r>
      <w:r>
        <w:rPr>
          <w:color w:val="000000"/>
        </w:rPr>
        <w:t xml:space="preserve">Woolf, K.  Jones, A.  Dacre, J. </w:t>
      </w:r>
      <w:r w:rsidRPr="00E35E44">
        <w:rPr>
          <w:color w:val="000000"/>
        </w:rPr>
        <w:t xml:space="preserve">Easing the transition from student to doctor: How can medical schools help prepare their students for starting work? </w:t>
      </w:r>
      <w:r w:rsidRPr="00E35E44">
        <w:rPr>
          <w:i/>
          <w:color w:val="000000"/>
        </w:rPr>
        <w:t xml:space="preserve"> </w:t>
      </w:r>
      <w:r w:rsidRPr="00115058">
        <w:rPr>
          <w:color w:val="000000"/>
        </w:rPr>
        <w:t>Medical Teacher</w:t>
      </w:r>
      <w:r w:rsidRPr="00E35E44">
        <w:rPr>
          <w:color w:val="000000"/>
        </w:rPr>
        <w:t xml:space="preserve">.  </w:t>
      </w:r>
      <w:r>
        <w:rPr>
          <w:color w:val="000000"/>
        </w:rPr>
        <w:t xml:space="preserve">2009; 31: </w:t>
      </w:r>
      <w:r w:rsidRPr="00E35E44">
        <w:rPr>
          <w:color w:val="000000"/>
        </w:rPr>
        <w:t>403-408</w:t>
      </w:r>
      <w:r>
        <w:rPr>
          <w:color w:val="000000"/>
        </w:rPr>
        <w:t>.</w:t>
      </w:r>
    </w:p>
    <w:p w:rsidR="00E468CC" w:rsidRPr="002E2F02" w:rsidRDefault="00E468CC" w:rsidP="002E2F02">
      <w:pPr>
        <w:pStyle w:val="ListParagraph"/>
        <w:numPr>
          <w:ilvl w:val="0"/>
          <w:numId w:val="21"/>
        </w:numPr>
        <w:spacing w:line="360" w:lineRule="auto"/>
        <w:ind w:right="1134"/>
      </w:pPr>
      <w:r w:rsidRPr="002E2F02">
        <w:rPr>
          <w:rFonts w:cs="Arial"/>
        </w:rPr>
        <w:t xml:space="preserve">Goldacre, M. J.  Taylor, K.  Lambert, T. W.  Views of junior doctors about whether their medical school prepared them well for work: questionnaire surveys.  </w:t>
      </w:r>
      <w:r w:rsidRPr="002E2F02">
        <w:rPr>
          <w:rFonts w:cs="Arial"/>
          <w:i/>
        </w:rPr>
        <w:t xml:space="preserve">BMC medical education.  </w:t>
      </w:r>
      <w:r w:rsidRPr="002E2F02">
        <w:rPr>
          <w:rFonts w:cs="Arial"/>
        </w:rPr>
        <w:t>2010; 10: 78.</w:t>
      </w:r>
    </w:p>
    <w:p w:rsidR="002E2F02" w:rsidRPr="00D45DFB" w:rsidRDefault="002E2F02" w:rsidP="002E2F02">
      <w:pPr>
        <w:pStyle w:val="ListParagraph"/>
        <w:numPr>
          <w:ilvl w:val="0"/>
          <w:numId w:val="21"/>
        </w:numPr>
        <w:spacing w:line="360" w:lineRule="auto"/>
        <w:rPr>
          <w:rFonts w:cs="Arial"/>
        </w:rPr>
      </w:pPr>
      <w:r>
        <w:rPr>
          <w:rFonts w:cs="Arial"/>
        </w:rPr>
        <w:t xml:space="preserve">Lempp, H.  Cochrane, M.  Rees, J.  A qualitative study of the perceptions and experiences of Pre-Registration House Officers on teamwork and support.  </w:t>
      </w:r>
      <w:r w:rsidRPr="00115058">
        <w:rPr>
          <w:rFonts w:cs="Arial"/>
        </w:rPr>
        <w:t>BMC Medical Education</w:t>
      </w:r>
      <w:r>
        <w:rPr>
          <w:rFonts w:cs="Arial"/>
          <w:i/>
        </w:rPr>
        <w:t xml:space="preserve">.  </w:t>
      </w:r>
      <w:r>
        <w:rPr>
          <w:rFonts w:cs="Arial"/>
        </w:rPr>
        <w:t xml:space="preserve">2005; 5 (10) </w:t>
      </w:r>
    </w:p>
    <w:p w:rsidR="00E468CC" w:rsidRPr="00435744" w:rsidRDefault="00E468CC" w:rsidP="002E2F02">
      <w:pPr>
        <w:pStyle w:val="ListParagraph"/>
        <w:numPr>
          <w:ilvl w:val="0"/>
          <w:numId w:val="21"/>
        </w:numPr>
        <w:spacing w:line="360" w:lineRule="auto"/>
        <w:rPr>
          <w:rFonts w:cs="Arial"/>
          <w:sz w:val="24"/>
          <w:szCs w:val="24"/>
        </w:rPr>
      </w:pPr>
      <w:r>
        <w:rPr>
          <w:rFonts w:cs="Arial"/>
        </w:rPr>
        <w:t xml:space="preserve">Lindberg, O.  The next step – alumni students’ views on their preparation for their first </w:t>
      </w:r>
      <w:r w:rsidRPr="00435744">
        <w:rPr>
          <w:rFonts w:cs="Arial"/>
          <w:sz w:val="24"/>
          <w:szCs w:val="24"/>
        </w:rPr>
        <w:t>position as a physician.</w:t>
      </w:r>
      <w:r>
        <w:rPr>
          <w:rFonts w:cs="Arial"/>
          <w:sz w:val="24"/>
          <w:szCs w:val="24"/>
        </w:rPr>
        <w:t xml:space="preserve"> </w:t>
      </w:r>
      <w:r w:rsidRPr="00115058">
        <w:rPr>
          <w:rFonts w:cs="Arial"/>
          <w:sz w:val="24"/>
          <w:szCs w:val="24"/>
        </w:rPr>
        <w:t>Medical Education Online</w:t>
      </w:r>
      <w:r>
        <w:rPr>
          <w:rFonts w:cs="Arial"/>
          <w:sz w:val="24"/>
          <w:szCs w:val="24"/>
        </w:rPr>
        <w:t xml:space="preserve"> 2010; 15: 4884.</w:t>
      </w:r>
      <w:r w:rsidRPr="00435744">
        <w:rPr>
          <w:rFonts w:cs="Arial"/>
          <w:sz w:val="24"/>
          <w:szCs w:val="24"/>
        </w:rPr>
        <w:t xml:space="preserve">  </w:t>
      </w:r>
    </w:p>
    <w:p w:rsidR="00E468CC" w:rsidRDefault="00E468CC" w:rsidP="002E2F02">
      <w:pPr>
        <w:pStyle w:val="ListParagraph"/>
        <w:numPr>
          <w:ilvl w:val="0"/>
          <w:numId w:val="21"/>
        </w:numPr>
        <w:spacing w:line="360" w:lineRule="auto"/>
        <w:rPr>
          <w:rFonts w:cs="Arial"/>
          <w:sz w:val="24"/>
          <w:szCs w:val="24"/>
        </w:rPr>
      </w:pPr>
      <w:r>
        <w:rPr>
          <w:rFonts w:cs="Arial"/>
          <w:sz w:val="24"/>
          <w:szCs w:val="24"/>
        </w:rPr>
        <w:t>O</w:t>
      </w:r>
      <w:r w:rsidRPr="00435744">
        <w:rPr>
          <w:rFonts w:cs="Arial"/>
          <w:sz w:val="24"/>
          <w:szCs w:val="24"/>
        </w:rPr>
        <w:t>schmann</w:t>
      </w:r>
      <w:r>
        <w:rPr>
          <w:rFonts w:cs="Arial"/>
          <w:sz w:val="24"/>
          <w:szCs w:val="24"/>
        </w:rPr>
        <w:t>,</w:t>
      </w:r>
      <w:r w:rsidRPr="00435744">
        <w:rPr>
          <w:rFonts w:cs="Arial"/>
          <w:sz w:val="24"/>
          <w:szCs w:val="24"/>
        </w:rPr>
        <w:t xml:space="preserve"> E B.  Zier</w:t>
      </w:r>
      <w:r>
        <w:rPr>
          <w:rFonts w:cs="Arial"/>
          <w:sz w:val="24"/>
          <w:szCs w:val="24"/>
        </w:rPr>
        <w:t>,</w:t>
      </w:r>
      <w:r w:rsidRPr="00435744">
        <w:rPr>
          <w:rFonts w:cs="Arial"/>
          <w:sz w:val="24"/>
          <w:szCs w:val="24"/>
        </w:rPr>
        <w:t xml:space="preserve"> U.  Drexler</w:t>
      </w:r>
      <w:r>
        <w:rPr>
          <w:rFonts w:cs="Arial"/>
          <w:sz w:val="24"/>
          <w:szCs w:val="24"/>
        </w:rPr>
        <w:t>,</w:t>
      </w:r>
      <w:r w:rsidRPr="00435744">
        <w:rPr>
          <w:rFonts w:cs="Arial"/>
          <w:sz w:val="24"/>
          <w:szCs w:val="24"/>
        </w:rPr>
        <w:t xml:space="preserve"> H.  Schmid</w:t>
      </w:r>
      <w:r>
        <w:rPr>
          <w:rFonts w:cs="Arial"/>
          <w:sz w:val="24"/>
          <w:szCs w:val="24"/>
        </w:rPr>
        <w:t>,</w:t>
      </w:r>
      <w:r w:rsidRPr="00435744">
        <w:rPr>
          <w:rFonts w:cs="Arial"/>
          <w:sz w:val="24"/>
          <w:szCs w:val="24"/>
        </w:rPr>
        <w:t xml:space="preserve"> K.  Well prepared for work?  Junior doctors self-assessment after medical education.  </w:t>
      </w:r>
      <w:r>
        <w:rPr>
          <w:rFonts w:cs="Arial"/>
          <w:sz w:val="24"/>
          <w:szCs w:val="24"/>
        </w:rPr>
        <w:t>BMC Medical E</w:t>
      </w:r>
      <w:r w:rsidRPr="00115058">
        <w:rPr>
          <w:rFonts w:cs="Arial"/>
          <w:sz w:val="24"/>
          <w:szCs w:val="24"/>
        </w:rPr>
        <w:t>ducation</w:t>
      </w:r>
      <w:r w:rsidRPr="00435744">
        <w:rPr>
          <w:rFonts w:cs="Arial"/>
          <w:i/>
          <w:sz w:val="24"/>
          <w:szCs w:val="24"/>
        </w:rPr>
        <w:t xml:space="preserve">.  </w:t>
      </w:r>
      <w:r w:rsidRPr="00435744">
        <w:rPr>
          <w:rFonts w:cs="Arial"/>
          <w:sz w:val="24"/>
          <w:szCs w:val="24"/>
        </w:rPr>
        <w:t>2011;  11 (99)</w:t>
      </w:r>
      <w:r>
        <w:rPr>
          <w:rFonts w:cs="Arial"/>
          <w:sz w:val="24"/>
          <w:szCs w:val="24"/>
        </w:rPr>
        <w:t>.</w:t>
      </w:r>
    </w:p>
    <w:p w:rsidR="002E2F02" w:rsidRDefault="002E2F02" w:rsidP="002E2F02">
      <w:pPr>
        <w:pStyle w:val="ListParagraph"/>
        <w:numPr>
          <w:ilvl w:val="0"/>
          <w:numId w:val="21"/>
        </w:numPr>
        <w:spacing w:line="360" w:lineRule="auto"/>
        <w:rPr>
          <w:rFonts w:cs="Arial"/>
        </w:rPr>
      </w:pPr>
      <w:r>
        <w:rPr>
          <w:rFonts w:cs="Arial"/>
        </w:rPr>
        <w:t>Tallentire, V R.  Smith, E S.  Wylde, K.  Cameron, H S.  Are medical graduates ready to face the challenges of foundation training?  Postgraduate Medical J</w:t>
      </w:r>
      <w:r w:rsidRPr="00115058">
        <w:rPr>
          <w:rFonts w:cs="Arial"/>
        </w:rPr>
        <w:t>ournal</w:t>
      </w:r>
      <w:r>
        <w:rPr>
          <w:rFonts w:cs="Arial"/>
          <w:i/>
        </w:rPr>
        <w:t xml:space="preserve">.  </w:t>
      </w:r>
      <w:r>
        <w:rPr>
          <w:rFonts w:cs="Arial"/>
        </w:rPr>
        <w:t xml:space="preserve">2011; 87: 590-595.  </w:t>
      </w:r>
    </w:p>
    <w:p w:rsidR="002E2F02" w:rsidRPr="002E2F02" w:rsidRDefault="002E2F02" w:rsidP="002E2F02">
      <w:pPr>
        <w:pStyle w:val="ListParagraph"/>
        <w:numPr>
          <w:ilvl w:val="0"/>
          <w:numId w:val="21"/>
        </w:numPr>
        <w:spacing w:line="360" w:lineRule="auto"/>
        <w:rPr>
          <w:rFonts w:cs="Arial"/>
        </w:rPr>
      </w:pPr>
      <w:r w:rsidRPr="002E2F02">
        <w:rPr>
          <w:color w:val="000000"/>
        </w:rPr>
        <w:t>Wall, D. Balshaw, A. Carloan, J</w:t>
      </w:r>
      <w:r w:rsidRPr="002E2F02">
        <w:rPr>
          <w:i/>
          <w:color w:val="000000"/>
        </w:rPr>
        <w:t xml:space="preserve">.  </w:t>
      </w:r>
      <w:r w:rsidRPr="002E2F02">
        <w:rPr>
          <w:color w:val="000000"/>
        </w:rPr>
        <w:t>From undergraduate medical education to pre-registration house officer year: how prepared are students?  Medical Teacher</w:t>
      </w:r>
      <w:r w:rsidRPr="002E2F02">
        <w:rPr>
          <w:i/>
          <w:color w:val="000000"/>
        </w:rPr>
        <w:t xml:space="preserve">.  </w:t>
      </w:r>
      <w:r w:rsidRPr="002E2F02">
        <w:rPr>
          <w:color w:val="000000"/>
        </w:rPr>
        <w:t>2006; 28 (5): 435-439.</w:t>
      </w:r>
    </w:p>
    <w:p w:rsidR="00DF621C" w:rsidRPr="00530C76" w:rsidRDefault="00DF621C" w:rsidP="00DF621C">
      <w:pPr>
        <w:pStyle w:val="ListParagraph"/>
        <w:numPr>
          <w:ilvl w:val="0"/>
          <w:numId w:val="21"/>
        </w:numPr>
        <w:spacing w:line="360" w:lineRule="auto"/>
        <w:rPr>
          <w:rFonts w:cs="Arial"/>
          <w:sz w:val="24"/>
          <w:szCs w:val="24"/>
        </w:rPr>
      </w:pPr>
      <w:r w:rsidRPr="00435744">
        <w:rPr>
          <w:rFonts w:cs="AdvPSNBAS-R"/>
          <w:sz w:val="24"/>
          <w:szCs w:val="24"/>
        </w:rPr>
        <w:t>Wijnen-Meijer</w:t>
      </w:r>
      <w:r>
        <w:rPr>
          <w:rFonts w:cs="AdvPSNBAS-R"/>
          <w:sz w:val="24"/>
          <w:szCs w:val="24"/>
        </w:rPr>
        <w:t>,</w:t>
      </w:r>
      <w:r w:rsidRPr="00435744">
        <w:rPr>
          <w:rFonts w:cs="AdvPSNBAS-R"/>
          <w:sz w:val="24"/>
          <w:szCs w:val="24"/>
        </w:rPr>
        <w:t xml:space="preserve"> M.  ten Cate</w:t>
      </w:r>
      <w:r>
        <w:rPr>
          <w:rFonts w:cs="AdvPSNBAS-R"/>
          <w:sz w:val="24"/>
          <w:szCs w:val="24"/>
        </w:rPr>
        <w:t>,</w:t>
      </w:r>
      <w:r w:rsidRPr="00435744">
        <w:rPr>
          <w:rFonts w:cs="AdvPSNBAS-R"/>
          <w:sz w:val="24"/>
          <w:szCs w:val="24"/>
        </w:rPr>
        <w:t xml:space="preserve"> OTJ.   van der Schaaf</w:t>
      </w:r>
      <w:r>
        <w:rPr>
          <w:rFonts w:cs="AdvPSNBAS-R"/>
          <w:sz w:val="24"/>
          <w:szCs w:val="24"/>
        </w:rPr>
        <w:t>,</w:t>
      </w:r>
      <w:r w:rsidRPr="00435744">
        <w:rPr>
          <w:rFonts w:cs="AdvPSNBAS-R"/>
          <w:sz w:val="24"/>
          <w:szCs w:val="24"/>
        </w:rPr>
        <w:t xml:space="preserve">  M.   Borleffs</w:t>
      </w:r>
      <w:r>
        <w:rPr>
          <w:rFonts w:cs="AdvPSNBAS-R"/>
          <w:sz w:val="24"/>
          <w:szCs w:val="24"/>
        </w:rPr>
        <w:t>,</w:t>
      </w:r>
      <w:r w:rsidRPr="00435744">
        <w:rPr>
          <w:rFonts w:cs="AdvPSNBAS-R"/>
          <w:sz w:val="24"/>
          <w:szCs w:val="24"/>
        </w:rPr>
        <w:t xml:space="preserve"> J C C.  </w:t>
      </w:r>
      <w:r w:rsidRPr="00435744">
        <w:rPr>
          <w:rFonts w:cs="AdvChianBT_b"/>
          <w:sz w:val="24"/>
          <w:szCs w:val="24"/>
        </w:rPr>
        <w:t xml:space="preserve">Vertical integration in medical school: effect on the transition to postgraduate training.  </w:t>
      </w:r>
      <w:r w:rsidRPr="00115058">
        <w:rPr>
          <w:rFonts w:cs="AdvChianBT_b"/>
          <w:sz w:val="24"/>
          <w:szCs w:val="24"/>
        </w:rPr>
        <w:t>Medical Education</w:t>
      </w:r>
      <w:r>
        <w:rPr>
          <w:rFonts w:cs="AdvChianBT_b"/>
          <w:sz w:val="24"/>
          <w:szCs w:val="24"/>
        </w:rPr>
        <w:t>.  2010;</w:t>
      </w:r>
      <w:r w:rsidRPr="00435744">
        <w:rPr>
          <w:rFonts w:cs="AdvChianBT_b"/>
          <w:sz w:val="24"/>
          <w:szCs w:val="24"/>
        </w:rPr>
        <w:t xml:space="preserve"> 44</w:t>
      </w:r>
      <w:r>
        <w:rPr>
          <w:rFonts w:cs="AdvChianBT_b"/>
          <w:sz w:val="24"/>
          <w:szCs w:val="24"/>
        </w:rPr>
        <w:t>:</w:t>
      </w:r>
      <w:r w:rsidRPr="00435744">
        <w:rPr>
          <w:rFonts w:cs="AdvChianBT_b"/>
          <w:sz w:val="24"/>
          <w:szCs w:val="24"/>
        </w:rPr>
        <w:t xml:space="preserve"> 272-279.  </w:t>
      </w:r>
    </w:p>
    <w:p w:rsidR="00DF621C" w:rsidRDefault="00DF621C" w:rsidP="00DF621C">
      <w:pPr>
        <w:pStyle w:val="ListParagraph"/>
        <w:spacing w:line="360" w:lineRule="auto"/>
        <w:rPr>
          <w:rFonts w:cs="Arial"/>
        </w:rPr>
      </w:pPr>
    </w:p>
    <w:p w:rsidR="00E468CC" w:rsidRPr="005B6BFB" w:rsidRDefault="00E468CC" w:rsidP="00E468CC">
      <w:pPr>
        <w:pStyle w:val="ListParagraph"/>
        <w:spacing w:line="360" w:lineRule="auto"/>
        <w:ind w:left="0"/>
        <w:rPr>
          <w:rFonts w:cs="Arial"/>
        </w:rPr>
      </w:pPr>
    </w:p>
    <w:p w:rsidR="00803E00" w:rsidRPr="00E35E44" w:rsidRDefault="00803E00" w:rsidP="00803E00">
      <w:pPr>
        <w:pStyle w:val="ListParagraph"/>
        <w:spacing w:line="360" w:lineRule="auto"/>
        <w:ind w:left="567" w:right="1134" w:hanging="567"/>
      </w:pPr>
    </w:p>
    <w:p w:rsidR="00803E00" w:rsidRDefault="00803E00" w:rsidP="00803E00">
      <w:pPr>
        <w:pStyle w:val="ListParagraph"/>
        <w:spacing w:line="360" w:lineRule="auto"/>
        <w:ind w:left="567" w:hanging="567"/>
        <w:rPr>
          <w:rFonts w:cs="Arial"/>
        </w:rPr>
      </w:pPr>
    </w:p>
    <w:p w:rsidR="007E243B" w:rsidRDefault="00343171" w:rsidP="007E243B">
      <w:pPr>
        <w:spacing w:after="0" w:line="360" w:lineRule="auto"/>
        <w:rPr>
          <w:b/>
          <w:noProof/>
          <w:u w:val="single"/>
          <w:lang w:eastAsia="en-GB"/>
        </w:rPr>
      </w:pPr>
      <w:r>
        <w:rPr>
          <w:noProof/>
          <w:lang w:eastAsia="en-GB"/>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572770</wp:posOffset>
            </wp:positionV>
            <wp:extent cx="5732145" cy="6673850"/>
            <wp:effectExtent l="0" t="0" r="1905" b="0"/>
            <wp:wrapTight wrapText="bothSides">
              <wp:wrapPolygon edited="0">
                <wp:start x="0" y="0"/>
                <wp:lineTo x="0" y="21518"/>
                <wp:lineTo x="21535" y="21518"/>
                <wp:lineTo x="21535"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2145" cy="6673850"/>
                    </a:xfrm>
                    <a:prstGeom prst="rect">
                      <a:avLst/>
                    </a:prstGeom>
                    <a:noFill/>
                    <a:ln>
                      <a:noFill/>
                    </a:ln>
                  </pic:spPr>
                </pic:pic>
              </a:graphicData>
            </a:graphic>
          </wp:anchor>
        </w:drawing>
      </w:r>
      <w:r w:rsidR="007E243B">
        <w:rPr>
          <w:b/>
          <w:noProof/>
          <w:u w:val="single"/>
          <w:lang w:eastAsia="en-GB"/>
        </w:rPr>
        <w:t>Figure 1</w:t>
      </w:r>
    </w:p>
    <w:p w:rsidR="007E243B" w:rsidRDefault="007E243B" w:rsidP="002F0DBF">
      <w:pPr>
        <w:spacing w:after="0" w:line="360" w:lineRule="auto"/>
        <w:rPr>
          <w:b/>
          <w:noProof/>
          <w:u w:val="single"/>
          <w:lang w:eastAsia="en-GB"/>
        </w:rPr>
      </w:pPr>
    </w:p>
    <w:p w:rsidR="007E243B" w:rsidRDefault="007E243B" w:rsidP="002F0DBF">
      <w:pPr>
        <w:spacing w:after="0" w:line="360" w:lineRule="auto"/>
        <w:rPr>
          <w:b/>
          <w:noProof/>
          <w:u w:val="single"/>
          <w:lang w:eastAsia="en-GB"/>
        </w:rPr>
      </w:pPr>
    </w:p>
    <w:p w:rsidR="007E243B" w:rsidRDefault="007E243B" w:rsidP="002F0DBF">
      <w:pPr>
        <w:spacing w:after="0" w:line="360" w:lineRule="auto"/>
        <w:rPr>
          <w:b/>
          <w:noProof/>
          <w:u w:val="single"/>
          <w:lang w:eastAsia="en-GB"/>
        </w:rPr>
      </w:pPr>
    </w:p>
    <w:p w:rsidR="007E243B" w:rsidRDefault="007E243B" w:rsidP="002F0DBF">
      <w:pPr>
        <w:spacing w:after="0" w:line="360" w:lineRule="auto"/>
        <w:rPr>
          <w:b/>
          <w:noProof/>
          <w:u w:val="single"/>
          <w:lang w:eastAsia="en-GB"/>
        </w:rPr>
      </w:pPr>
    </w:p>
    <w:p w:rsidR="007E243B" w:rsidRDefault="007E243B" w:rsidP="002F0DBF">
      <w:pPr>
        <w:spacing w:after="0" w:line="360" w:lineRule="auto"/>
        <w:rPr>
          <w:b/>
          <w:noProof/>
          <w:u w:val="single"/>
          <w:lang w:eastAsia="en-GB"/>
        </w:rPr>
      </w:pPr>
    </w:p>
    <w:p w:rsidR="008545F2" w:rsidRPr="0086362C" w:rsidRDefault="008545F2" w:rsidP="0086362C">
      <w:pPr>
        <w:spacing w:line="360" w:lineRule="auto"/>
        <w:rPr>
          <w:b/>
        </w:rPr>
      </w:pPr>
    </w:p>
    <w:sectPr w:rsidR="008545F2" w:rsidRPr="0086362C" w:rsidSect="00AA654A">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AE2" w:rsidRDefault="00A76AE2" w:rsidP="001547C8">
      <w:pPr>
        <w:spacing w:after="0" w:line="240" w:lineRule="auto"/>
      </w:pPr>
      <w:r>
        <w:separator/>
      </w:r>
    </w:p>
  </w:endnote>
  <w:endnote w:type="continuationSeparator" w:id="0">
    <w:p w:rsidR="00A76AE2" w:rsidRDefault="00A76AE2" w:rsidP="00154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dvPSNBAS-R">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dvPS-NBI">
    <w:panose1 w:val="00000000000000000000"/>
    <w:charset w:val="00"/>
    <w:family w:val="swiss"/>
    <w:notTrueType/>
    <w:pitch w:val="default"/>
    <w:sig w:usb0="00000003" w:usb1="00000000" w:usb2="00000000" w:usb3="00000000" w:csb0="00000001" w:csb1="00000000"/>
  </w:font>
  <w:font w:name="AdvPSNBAS-B">
    <w:panose1 w:val="00000000000000000000"/>
    <w:charset w:val="00"/>
    <w:family w:val="roman"/>
    <w:notTrueType/>
    <w:pitch w:val="default"/>
    <w:sig w:usb0="00000003" w:usb1="00000000" w:usb2="00000000" w:usb3="00000000" w:csb0="00000001" w:csb1="00000000"/>
  </w:font>
  <w:font w:name="AdvChianBT_b">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F1" w:rsidRDefault="009A66F7">
    <w:pPr>
      <w:pStyle w:val="Footer"/>
      <w:jc w:val="right"/>
    </w:pPr>
    <w:r>
      <w:fldChar w:fldCharType="begin"/>
    </w:r>
    <w:r w:rsidR="00465C5F">
      <w:instrText xml:space="preserve"> PAGE   \* MERGEFORMAT </w:instrText>
    </w:r>
    <w:r>
      <w:fldChar w:fldCharType="separate"/>
    </w:r>
    <w:r w:rsidR="00464743">
      <w:rPr>
        <w:noProof/>
      </w:rPr>
      <w:t>1</w:t>
    </w:r>
    <w:r>
      <w:rPr>
        <w:noProof/>
      </w:rPr>
      <w:fldChar w:fldCharType="end"/>
    </w:r>
  </w:p>
  <w:p w:rsidR="004222F1" w:rsidRDefault="00422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AE2" w:rsidRDefault="00A76AE2" w:rsidP="001547C8">
      <w:pPr>
        <w:spacing w:after="0" w:line="240" w:lineRule="auto"/>
      </w:pPr>
      <w:r>
        <w:separator/>
      </w:r>
    </w:p>
  </w:footnote>
  <w:footnote w:type="continuationSeparator" w:id="0">
    <w:p w:rsidR="00A76AE2" w:rsidRDefault="00A76AE2" w:rsidP="00154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EED"/>
    <w:multiLevelType w:val="hybridMultilevel"/>
    <w:tmpl w:val="08948E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64515"/>
    <w:multiLevelType w:val="hybridMultilevel"/>
    <w:tmpl w:val="4D762CBC"/>
    <w:lvl w:ilvl="0" w:tplc="D7162704">
      <w:start w:val="1"/>
      <w:numFmt w:val="decimal"/>
      <w:lvlText w:val="%1."/>
      <w:lvlJc w:val="left"/>
      <w:pPr>
        <w:ind w:left="720" w:hanging="360"/>
      </w:pPr>
      <w:rPr>
        <w:rFonts w:ascii="AdvPSNBAS-R" w:hAnsi="AdvPSNBAS-R" w:cs="AdvPSNBAS-R"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B5804"/>
    <w:multiLevelType w:val="hybridMultilevel"/>
    <w:tmpl w:val="8E88A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C302F9"/>
    <w:multiLevelType w:val="hybridMultilevel"/>
    <w:tmpl w:val="6B2E5132"/>
    <w:lvl w:ilvl="0" w:tplc="AC46AB4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E85485"/>
    <w:multiLevelType w:val="hybridMultilevel"/>
    <w:tmpl w:val="DED64FE2"/>
    <w:lvl w:ilvl="0" w:tplc="8C4E35C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966323"/>
    <w:multiLevelType w:val="hybridMultilevel"/>
    <w:tmpl w:val="51E659F4"/>
    <w:lvl w:ilvl="0" w:tplc="2CAE5C82">
      <w:numFmt w:val="bullet"/>
      <w:lvlText w:val="–"/>
      <w:lvlJc w:val="left"/>
      <w:pPr>
        <w:ind w:left="706" w:hanging="360"/>
      </w:pPr>
      <w:rPr>
        <w:rFonts w:ascii="Calibri" w:eastAsia="Calibri" w:hAnsi="Calibri" w:cs="Calibri" w:hint="default"/>
        <w:i/>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6">
    <w:nsid w:val="2BD37175"/>
    <w:multiLevelType w:val="hybridMultilevel"/>
    <w:tmpl w:val="4D762CBC"/>
    <w:lvl w:ilvl="0" w:tplc="D7162704">
      <w:start w:val="1"/>
      <w:numFmt w:val="decimal"/>
      <w:lvlText w:val="%1."/>
      <w:lvlJc w:val="left"/>
      <w:pPr>
        <w:ind w:left="720" w:hanging="360"/>
      </w:pPr>
      <w:rPr>
        <w:rFonts w:ascii="AdvPSNBAS-R" w:hAnsi="AdvPSNBAS-R" w:cs="AdvPSNBAS-R"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9152ED"/>
    <w:multiLevelType w:val="hybridMultilevel"/>
    <w:tmpl w:val="4D762CBC"/>
    <w:lvl w:ilvl="0" w:tplc="D7162704">
      <w:start w:val="1"/>
      <w:numFmt w:val="decimal"/>
      <w:lvlText w:val="%1."/>
      <w:lvlJc w:val="left"/>
      <w:pPr>
        <w:ind w:left="720" w:hanging="360"/>
      </w:pPr>
      <w:rPr>
        <w:rFonts w:ascii="AdvPSNBAS-R" w:hAnsi="AdvPSNBAS-R" w:cs="AdvPSNBAS-R"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DE3A18"/>
    <w:multiLevelType w:val="hybridMultilevel"/>
    <w:tmpl w:val="DC36B59E"/>
    <w:lvl w:ilvl="0" w:tplc="F42034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AD3E83"/>
    <w:multiLevelType w:val="hybridMultilevel"/>
    <w:tmpl w:val="0F64D7D6"/>
    <w:lvl w:ilvl="0" w:tplc="E2B4A7FC">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A1D4406"/>
    <w:multiLevelType w:val="hybridMultilevel"/>
    <w:tmpl w:val="34087D34"/>
    <w:lvl w:ilvl="0" w:tplc="D7162704">
      <w:start w:val="1"/>
      <w:numFmt w:val="decimal"/>
      <w:lvlText w:val="%1."/>
      <w:lvlJc w:val="left"/>
      <w:pPr>
        <w:ind w:left="720" w:hanging="360"/>
      </w:pPr>
      <w:rPr>
        <w:rFonts w:ascii="AdvPSNBAS-R" w:hAnsi="AdvPSNBAS-R" w:cs="AdvPSNBAS-R"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8A4D0F"/>
    <w:multiLevelType w:val="hybridMultilevel"/>
    <w:tmpl w:val="4D762CBC"/>
    <w:lvl w:ilvl="0" w:tplc="D7162704">
      <w:start w:val="1"/>
      <w:numFmt w:val="decimal"/>
      <w:lvlText w:val="%1."/>
      <w:lvlJc w:val="left"/>
      <w:pPr>
        <w:ind w:left="720" w:hanging="360"/>
      </w:pPr>
      <w:rPr>
        <w:rFonts w:ascii="AdvPSNBAS-R" w:hAnsi="AdvPSNBAS-R" w:cs="AdvPSNBAS-R"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041C01"/>
    <w:multiLevelType w:val="hybridMultilevel"/>
    <w:tmpl w:val="053C43FA"/>
    <w:lvl w:ilvl="0" w:tplc="2CAE5C82">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8927EE"/>
    <w:multiLevelType w:val="hybridMultilevel"/>
    <w:tmpl w:val="096A95E0"/>
    <w:lvl w:ilvl="0" w:tplc="2CAE5C82">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0F2AB1"/>
    <w:multiLevelType w:val="hybridMultilevel"/>
    <w:tmpl w:val="E2BCD4C6"/>
    <w:lvl w:ilvl="0" w:tplc="2CAE5C82">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6A776F"/>
    <w:multiLevelType w:val="hybridMultilevel"/>
    <w:tmpl w:val="63565862"/>
    <w:lvl w:ilvl="0" w:tplc="2CAE5C82">
      <w:numFmt w:val="bullet"/>
      <w:lvlText w:val="–"/>
      <w:lvlJc w:val="left"/>
      <w:pPr>
        <w:ind w:left="706"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F95418"/>
    <w:multiLevelType w:val="hybridMultilevel"/>
    <w:tmpl w:val="871266F6"/>
    <w:lvl w:ilvl="0" w:tplc="2CAE5C82">
      <w:numFmt w:val="bullet"/>
      <w:lvlText w:val="–"/>
      <w:lvlJc w:val="left"/>
      <w:pPr>
        <w:ind w:left="706"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384E8F"/>
    <w:multiLevelType w:val="hybridMultilevel"/>
    <w:tmpl w:val="2182DC38"/>
    <w:lvl w:ilvl="0" w:tplc="F42034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720FCC"/>
    <w:multiLevelType w:val="hybridMultilevel"/>
    <w:tmpl w:val="237E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924BCD"/>
    <w:multiLevelType w:val="hybridMultilevel"/>
    <w:tmpl w:val="5CD26BBE"/>
    <w:lvl w:ilvl="0" w:tplc="2CAE5C82">
      <w:numFmt w:val="bullet"/>
      <w:lvlText w:val="–"/>
      <w:lvlJc w:val="left"/>
      <w:pPr>
        <w:ind w:left="706"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084A81"/>
    <w:multiLevelType w:val="hybridMultilevel"/>
    <w:tmpl w:val="611CEF96"/>
    <w:lvl w:ilvl="0" w:tplc="2CAE5C82">
      <w:numFmt w:val="bullet"/>
      <w:lvlText w:val="–"/>
      <w:lvlJc w:val="left"/>
      <w:pPr>
        <w:ind w:left="706" w:hanging="360"/>
      </w:pPr>
      <w:rPr>
        <w:rFonts w:ascii="Calibri" w:eastAsia="Calibri" w:hAnsi="Calibri" w:cs="Calibri"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195BEB"/>
    <w:multiLevelType w:val="hybridMultilevel"/>
    <w:tmpl w:val="BC26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4"/>
  </w:num>
  <w:num w:numId="4">
    <w:abstractNumId w:val="21"/>
  </w:num>
  <w:num w:numId="5">
    <w:abstractNumId w:val="10"/>
  </w:num>
  <w:num w:numId="6">
    <w:abstractNumId w:val="17"/>
  </w:num>
  <w:num w:numId="7">
    <w:abstractNumId w:val="8"/>
  </w:num>
  <w:num w:numId="8">
    <w:abstractNumId w:val="5"/>
  </w:num>
  <w:num w:numId="9">
    <w:abstractNumId w:val="19"/>
  </w:num>
  <w:num w:numId="10">
    <w:abstractNumId w:val="16"/>
  </w:num>
  <w:num w:numId="11">
    <w:abstractNumId w:val="15"/>
  </w:num>
  <w:num w:numId="12">
    <w:abstractNumId w:val="20"/>
  </w:num>
  <w:num w:numId="13">
    <w:abstractNumId w:val="13"/>
  </w:num>
  <w:num w:numId="14">
    <w:abstractNumId w:val="14"/>
  </w:num>
  <w:num w:numId="15">
    <w:abstractNumId w:val="12"/>
  </w:num>
  <w:num w:numId="16">
    <w:abstractNumId w:val="2"/>
  </w:num>
  <w:num w:numId="17">
    <w:abstractNumId w:val="6"/>
  </w:num>
  <w:num w:numId="18">
    <w:abstractNumId w:val="11"/>
  </w:num>
  <w:num w:numId="19">
    <w:abstractNumId w:val="3"/>
  </w:num>
  <w:num w:numId="20">
    <w:abstractNumId w:val="1"/>
  </w:num>
  <w:num w:numId="21">
    <w:abstractNumId w:val="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5CE0"/>
    <w:rsid w:val="0001660B"/>
    <w:rsid w:val="0002076F"/>
    <w:rsid w:val="000455FB"/>
    <w:rsid w:val="000604E6"/>
    <w:rsid w:val="0006313A"/>
    <w:rsid w:val="000A17D5"/>
    <w:rsid w:val="000A7A32"/>
    <w:rsid w:val="000B2CCE"/>
    <w:rsid w:val="000C2D9A"/>
    <w:rsid w:val="000E57A2"/>
    <w:rsid w:val="001016C5"/>
    <w:rsid w:val="0011160A"/>
    <w:rsid w:val="00112262"/>
    <w:rsid w:val="001335CE"/>
    <w:rsid w:val="00133FF1"/>
    <w:rsid w:val="001547C8"/>
    <w:rsid w:val="00177EB1"/>
    <w:rsid w:val="001B3CA4"/>
    <w:rsid w:val="001B58A0"/>
    <w:rsid w:val="001C7D82"/>
    <w:rsid w:val="001D38FD"/>
    <w:rsid w:val="001E0DC3"/>
    <w:rsid w:val="001E2199"/>
    <w:rsid w:val="001E4820"/>
    <w:rsid w:val="001F09E7"/>
    <w:rsid w:val="001F0E58"/>
    <w:rsid w:val="00201820"/>
    <w:rsid w:val="00204A9A"/>
    <w:rsid w:val="00205200"/>
    <w:rsid w:val="002354EB"/>
    <w:rsid w:val="002357B4"/>
    <w:rsid w:val="002363CF"/>
    <w:rsid w:val="0024696B"/>
    <w:rsid w:val="00252B49"/>
    <w:rsid w:val="00253BA5"/>
    <w:rsid w:val="00261E5E"/>
    <w:rsid w:val="00262322"/>
    <w:rsid w:val="00262F01"/>
    <w:rsid w:val="00270783"/>
    <w:rsid w:val="0029008E"/>
    <w:rsid w:val="002A1EC0"/>
    <w:rsid w:val="002B7F44"/>
    <w:rsid w:val="002D1335"/>
    <w:rsid w:val="002E2F02"/>
    <w:rsid w:val="002E5A2E"/>
    <w:rsid w:val="002F0DBF"/>
    <w:rsid w:val="0030005C"/>
    <w:rsid w:val="0030579F"/>
    <w:rsid w:val="003103DE"/>
    <w:rsid w:val="00310843"/>
    <w:rsid w:val="00325150"/>
    <w:rsid w:val="00336D69"/>
    <w:rsid w:val="00343171"/>
    <w:rsid w:val="003439FE"/>
    <w:rsid w:val="00356B89"/>
    <w:rsid w:val="00363682"/>
    <w:rsid w:val="00364CB1"/>
    <w:rsid w:val="0036620A"/>
    <w:rsid w:val="00367320"/>
    <w:rsid w:val="003823C2"/>
    <w:rsid w:val="00385BA5"/>
    <w:rsid w:val="00393147"/>
    <w:rsid w:val="00395CE0"/>
    <w:rsid w:val="0039670B"/>
    <w:rsid w:val="003A1388"/>
    <w:rsid w:val="003B2843"/>
    <w:rsid w:val="003C6CD8"/>
    <w:rsid w:val="003C7FCF"/>
    <w:rsid w:val="003D0BDE"/>
    <w:rsid w:val="003D66C0"/>
    <w:rsid w:val="003D78DB"/>
    <w:rsid w:val="003F6061"/>
    <w:rsid w:val="00417CAE"/>
    <w:rsid w:val="00420D7E"/>
    <w:rsid w:val="004222F1"/>
    <w:rsid w:val="00422E4B"/>
    <w:rsid w:val="00424A63"/>
    <w:rsid w:val="00426397"/>
    <w:rsid w:val="0043234F"/>
    <w:rsid w:val="00435AB9"/>
    <w:rsid w:val="00462F7E"/>
    <w:rsid w:val="00464743"/>
    <w:rsid w:val="00465C5F"/>
    <w:rsid w:val="004A53CD"/>
    <w:rsid w:val="004B4FCF"/>
    <w:rsid w:val="004C0B28"/>
    <w:rsid w:val="004C12FA"/>
    <w:rsid w:val="004C2465"/>
    <w:rsid w:val="004C274A"/>
    <w:rsid w:val="004C31E4"/>
    <w:rsid w:val="004C543A"/>
    <w:rsid w:val="004D21A9"/>
    <w:rsid w:val="004D5808"/>
    <w:rsid w:val="004E333F"/>
    <w:rsid w:val="004F0E38"/>
    <w:rsid w:val="00512D58"/>
    <w:rsid w:val="00517115"/>
    <w:rsid w:val="005216B4"/>
    <w:rsid w:val="005240C1"/>
    <w:rsid w:val="00524987"/>
    <w:rsid w:val="00530B34"/>
    <w:rsid w:val="00533A3E"/>
    <w:rsid w:val="00536DC1"/>
    <w:rsid w:val="00542305"/>
    <w:rsid w:val="0055035F"/>
    <w:rsid w:val="0055515B"/>
    <w:rsid w:val="005641BA"/>
    <w:rsid w:val="0056617E"/>
    <w:rsid w:val="00567D15"/>
    <w:rsid w:val="00574C95"/>
    <w:rsid w:val="005B2002"/>
    <w:rsid w:val="005C29E8"/>
    <w:rsid w:val="005D59A7"/>
    <w:rsid w:val="005E6376"/>
    <w:rsid w:val="005F0205"/>
    <w:rsid w:val="00603E65"/>
    <w:rsid w:val="006109A0"/>
    <w:rsid w:val="00613933"/>
    <w:rsid w:val="00625843"/>
    <w:rsid w:val="006414F7"/>
    <w:rsid w:val="0064366D"/>
    <w:rsid w:val="006472B2"/>
    <w:rsid w:val="00653C51"/>
    <w:rsid w:val="00654FF0"/>
    <w:rsid w:val="00662929"/>
    <w:rsid w:val="00663349"/>
    <w:rsid w:val="006667CD"/>
    <w:rsid w:val="00666D0F"/>
    <w:rsid w:val="00674C56"/>
    <w:rsid w:val="00676BA1"/>
    <w:rsid w:val="00684CE2"/>
    <w:rsid w:val="006A0897"/>
    <w:rsid w:val="006B7EF8"/>
    <w:rsid w:val="006F4F05"/>
    <w:rsid w:val="006F6A5E"/>
    <w:rsid w:val="0071422C"/>
    <w:rsid w:val="00714D7B"/>
    <w:rsid w:val="00721E89"/>
    <w:rsid w:val="00725827"/>
    <w:rsid w:val="00730B56"/>
    <w:rsid w:val="00734DFC"/>
    <w:rsid w:val="00735620"/>
    <w:rsid w:val="00737811"/>
    <w:rsid w:val="0074354A"/>
    <w:rsid w:val="007454A4"/>
    <w:rsid w:val="007677F3"/>
    <w:rsid w:val="0077501A"/>
    <w:rsid w:val="00786D55"/>
    <w:rsid w:val="00791275"/>
    <w:rsid w:val="007A3D8C"/>
    <w:rsid w:val="007A6D88"/>
    <w:rsid w:val="007B2699"/>
    <w:rsid w:val="007B5D13"/>
    <w:rsid w:val="007B702F"/>
    <w:rsid w:val="007C07A0"/>
    <w:rsid w:val="007D0800"/>
    <w:rsid w:val="007E243B"/>
    <w:rsid w:val="007F3860"/>
    <w:rsid w:val="007F7413"/>
    <w:rsid w:val="00803E00"/>
    <w:rsid w:val="0080482B"/>
    <w:rsid w:val="00804A17"/>
    <w:rsid w:val="0080568A"/>
    <w:rsid w:val="00830A3B"/>
    <w:rsid w:val="00836D51"/>
    <w:rsid w:val="0084293A"/>
    <w:rsid w:val="00844FDF"/>
    <w:rsid w:val="00847061"/>
    <w:rsid w:val="00847552"/>
    <w:rsid w:val="008514F8"/>
    <w:rsid w:val="00851C35"/>
    <w:rsid w:val="008545F2"/>
    <w:rsid w:val="00861143"/>
    <w:rsid w:val="0086362C"/>
    <w:rsid w:val="00865689"/>
    <w:rsid w:val="008671B6"/>
    <w:rsid w:val="008777C8"/>
    <w:rsid w:val="00883C2E"/>
    <w:rsid w:val="00896686"/>
    <w:rsid w:val="008A5F7A"/>
    <w:rsid w:val="008B32A3"/>
    <w:rsid w:val="008B3420"/>
    <w:rsid w:val="008B3754"/>
    <w:rsid w:val="008C4A66"/>
    <w:rsid w:val="008D0C5A"/>
    <w:rsid w:val="008E4831"/>
    <w:rsid w:val="009067E8"/>
    <w:rsid w:val="009160C1"/>
    <w:rsid w:val="009228A2"/>
    <w:rsid w:val="00940656"/>
    <w:rsid w:val="009537CE"/>
    <w:rsid w:val="009576B6"/>
    <w:rsid w:val="0096672F"/>
    <w:rsid w:val="009672AC"/>
    <w:rsid w:val="00974468"/>
    <w:rsid w:val="00983E0C"/>
    <w:rsid w:val="009859F4"/>
    <w:rsid w:val="009872B6"/>
    <w:rsid w:val="009930EA"/>
    <w:rsid w:val="009958CF"/>
    <w:rsid w:val="00995B43"/>
    <w:rsid w:val="00995E37"/>
    <w:rsid w:val="00996F78"/>
    <w:rsid w:val="00997D44"/>
    <w:rsid w:val="009A3694"/>
    <w:rsid w:val="009A66F7"/>
    <w:rsid w:val="009B539D"/>
    <w:rsid w:val="009C6DD5"/>
    <w:rsid w:val="009C7DBE"/>
    <w:rsid w:val="009D2196"/>
    <w:rsid w:val="009D4310"/>
    <w:rsid w:val="009E3C75"/>
    <w:rsid w:val="009F46B9"/>
    <w:rsid w:val="009F664D"/>
    <w:rsid w:val="00A0235A"/>
    <w:rsid w:val="00A042DF"/>
    <w:rsid w:val="00A04563"/>
    <w:rsid w:val="00A1448E"/>
    <w:rsid w:val="00A216C8"/>
    <w:rsid w:val="00A22826"/>
    <w:rsid w:val="00A23FE0"/>
    <w:rsid w:val="00A340D0"/>
    <w:rsid w:val="00A50114"/>
    <w:rsid w:val="00A60382"/>
    <w:rsid w:val="00A66E0B"/>
    <w:rsid w:val="00A673D2"/>
    <w:rsid w:val="00A726A0"/>
    <w:rsid w:val="00A72F5A"/>
    <w:rsid w:val="00A76A3D"/>
    <w:rsid w:val="00A76AE2"/>
    <w:rsid w:val="00A83378"/>
    <w:rsid w:val="00AA2393"/>
    <w:rsid w:val="00AA654A"/>
    <w:rsid w:val="00AB18D5"/>
    <w:rsid w:val="00AC6623"/>
    <w:rsid w:val="00AD1F81"/>
    <w:rsid w:val="00AF6B73"/>
    <w:rsid w:val="00B2619F"/>
    <w:rsid w:val="00B32F7D"/>
    <w:rsid w:val="00B400B0"/>
    <w:rsid w:val="00B54D3B"/>
    <w:rsid w:val="00B5675A"/>
    <w:rsid w:val="00B7267F"/>
    <w:rsid w:val="00B77C1D"/>
    <w:rsid w:val="00B876DA"/>
    <w:rsid w:val="00B95BBA"/>
    <w:rsid w:val="00B96712"/>
    <w:rsid w:val="00BA3037"/>
    <w:rsid w:val="00BB235D"/>
    <w:rsid w:val="00BB6330"/>
    <w:rsid w:val="00BF2A75"/>
    <w:rsid w:val="00BF39AF"/>
    <w:rsid w:val="00BF4293"/>
    <w:rsid w:val="00BF50E3"/>
    <w:rsid w:val="00BF6D86"/>
    <w:rsid w:val="00C05A6C"/>
    <w:rsid w:val="00C07876"/>
    <w:rsid w:val="00C1415E"/>
    <w:rsid w:val="00C3195C"/>
    <w:rsid w:val="00C42385"/>
    <w:rsid w:val="00C45AD3"/>
    <w:rsid w:val="00C70E2C"/>
    <w:rsid w:val="00C739F4"/>
    <w:rsid w:val="00C7574F"/>
    <w:rsid w:val="00C76B76"/>
    <w:rsid w:val="00C81F50"/>
    <w:rsid w:val="00C82417"/>
    <w:rsid w:val="00C93BE8"/>
    <w:rsid w:val="00C97C82"/>
    <w:rsid w:val="00CA539E"/>
    <w:rsid w:val="00CA7879"/>
    <w:rsid w:val="00CB5C2C"/>
    <w:rsid w:val="00CC3580"/>
    <w:rsid w:val="00CD2196"/>
    <w:rsid w:val="00CE45C3"/>
    <w:rsid w:val="00CF258E"/>
    <w:rsid w:val="00CF3FC2"/>
    <w:rsid w:val="00D03BCD"/>
    <w:rsid w:val="00D04DED"/>
    <w:rsid w:val="00D11AD1"/>
    <w:rsid w:val="00D11E2C"/>
    <w:rsid w:val="00D174A7"/>
    <w:rsid w:val="00D23C26"/>
    <w:rsid w:val="00D314A8"/>
    <w:rsid w:val="00D47325"/>
    <w:rsid w:val="00D55681"/>
    <w:rsid w:val="00D571B4"/>
    <w:rsid w:val="00D62740"/>
    <w:rsid w:val="00D62C2E"/>
    <w:rsid w:val="00D71624"/>
    <w:rsid w:val="00D75BDE"/>
    <w:rsid w:val="00D87FA8"/>
    <w:rsid w:val="00D95398"/>
    <w:rsid w:val="00D9626D"/>
    <w:rsid w:val="00DA6DF7"/>
    <w:rsid w:val="00DD7E90"/>
    <w:rsid w:val="00DF46E1"/>
    <w:rsid w:val="00DF621C"/>
    <w:rsid w:val="00E07468"/>
    <w:rsid w:val="00E1104B"/>
    <w:rsid w:val="00E16F2C"/>
    <w:rsid w:val="00E25E45"/>
    <w:rsid w:val="00E31CF7"/>
    <w:rsid w:val="00E417F9"/>
    <w:rsid w:val="00E468CC"/>
    <w:rsid w:val="00E515A9"/>
    <w:rsid w:val="00E7272C"/>
    <w:rsid w:val="00E74EF0"/>
    <w:rsid w:val="00E8010C"/>
    <w:rsid w:val="00E824C0"/>
    <w:rsid w:val="00E8589B"/>
    <w:rsid w:val="00E95DAF"/>
    <w:rsid w:val="00E96867"/>
    <w:rsid w:val="00EA7C33"/>
    <w:rsid w:val="00EB4462"/>
    <w:rsid w:val="00EC2D2C"/>
    <w:rsid w:val="00ED21FD"/>
    <w:rsid w:val="00EE2E2B"/>
    <w:rsid w:val="00EE4C18"/>
    <w:rsid w:val="00EF5CA9"/>
    <w:rsid w:val="00F0368B"/>
    <w:rsid w:val="00F15848"/>
    <w:rsid w:val="00F30521"/>
    <w:rsid w:val="00F45960"/>
    <w:rsid w:val="00F51AD1"/>
    <w:rsid w:val="00F618C9"/>
    <w:rsid w:val="00F92FEC"/>
    <w:rsid w:val="00FB47CB"/>
    <w:rsid w:val="00FC77D8"/>
    <w:rsid w:val="00FC7844"/>
    <w:rsid w:val="00FD1F95"/>
    <w:rsid w:val="00FE56EA"/>
    <w:rsid w:val="00FF5DB8"/>
    <w:rsid w:val="00FF661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E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E0"/>
    <w:pPr>
      <w:ind w:left="720"/>
      <w:contextualSpacing/>
    </w:pPr>
  </w:style>
  <w:style w:type="character" w:customStyle="1" w:styleId="apple-converted-space">
    <w:name w:val="apple-converted-space"/>
    <w:basedOn w:val="DefaultParagraphFont"/>
    <w:rsid w:val="00395CE0"/>
  </w:style>
  <w:style w:type="character" w:styleId="Hyperlink">
    <w:name w:val="Hyperlink"/>
    <w:uiPriority w:val="99"/>
    <w:unhideWhenUsed/>
    <w:rsid w:val="00395CE0"/>
    <w:rPr>
      <w:color w:val="0000FF"/>
      <w:u w:val="single"/>
    </w:rPr>
  </w:style>
  <w:style w:type="paragraph" w:styleId="Header">
    <w:name w:val="header"/>
    <w:basedOn w:val="Normal"/>
    <w:link w:val="HeaderChar"/>
    <w:uiPriority w:val="99"/>
    <w:unhideWhenUsed/>
    <w:rsid w:val="001547C8"/>
    <w:pPr>
      <w:tabs>
        <w:tab w:val="center" w:pos="4513"/>
        <w:tab w:val="right" w:pos="9026"/>
      </w:tabs>
    </w:pPr>
  </w:style>
  <w:style w:type="character" w:customStyle="1" w:styleId="HeaderChar">
    <w:name w:val="Header Char"/>
    <w:link w:val="Header"/>
    <w:uiPriority w:val="99"/>
    <w:rsid w:val="001547C8"/>
    <w:rPr>
      <w:sz w:val="22"/>
      <w:szCs w:val="22"/>
      <w:lang w:eastAsia="en-US"/>
    </w:rPr>
  </w:style>
  <w:style w:type="paragraph" w:styleId="Footer">
    <w:name w:val="footer"/>
    <w:basedOn w:val="Normal"/>
    <w:link w:val="FooterChar"/>
    <w:uiPriority w:val="99"/>
    <w:unhideWhenUsed/>
    <w:rsid w:val="001547C8"/>
    <w:pPr>
      <w:tabs>
        <w:tab w:val="center" w:pos="4513"/>
        <w:tab w:val="right" w:pos="9026"/>
      </w:tabs>
    </w:pPr>
  </w:style>
  <w:style w:type="character" w:customStyle="1" w:styleId="FooterChar">
    <w:name w:val="Footer Char"/>
    <w:link w:val="Footer"/>
    <w:uiPriority w:val="99"/>
    <w:rsid w:val="001547C8"/>
    <w:rPr>
      <w:sz w:val="22"/>
      <w:szCs w:val="22"/>
      <w:lang w:eastAsia="en-US"/>
    </w:rPr>
  </w:style>
  <w:style w:type="table" w:styleId="TableGrid">
    <w:name w:val="Table Grid"/>
    <w:basedOn w:val="TableNormal"/>
    <w:uiPriority w:val="59"/>
    <w:rsid w:val="001B3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DB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F0D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E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E0"/>
    <w:pPr>
      <w:ind w:left="720"/>
      <w:contextualSpacing/>
    </w:pPr>
  </w:style>
  <w:style w:type="character" w:customStyle="1" w:styleId="apple-converted-space">
    <w:name w:val="apple-converted-space"/>
    <w:basedOn w:val="DefaultParagraphFont"/>
    <w:rsid w:val="00395CE0"/>
  </w:style>
  <w:style w:type="character" w:styleId="Hyperlink">
    <w:name w:val="Hyperlink"/>
    <w:uiPriority w:val="99"/>
    <w:unhideWhenUsed/>
    <w:rsid w:val="00395CE0"/>
    <w:rPr>
      <w:color w:val="0000FF"/>
      <w:u w:val="single"/>
    </w:rPr>
  </w:style>
  <w:style w:type="paragraph" w:styleId="Header">
    <w:name w:val="header"/>
    <w:basedOn w:val="Normal"/>
    <w:link w:val="HeaderChar"/>
    <w:uiPriority w:val="99"/>
    <w:unhideWhenUsed/>
    <w:rsid w:val="001547C8"/>
    <w:pPr>
      <w:tabs>
        <w:tab w:val="center" w:pos="4513"/>
        <w:tab w:val="right" w:pos="9026"/>
      </w:tabs>
    </w:pPr>
    <w:rPr>
      <w:lang w:val="x-none"/>
    </w:rPr>
  </w:style>
  <w:style w:type="character" w:customStyle="1" w:styleId="HeaderChar">
    <w:name w:val="Header Char"/>
    <w:link w:val="Header"/>
    <w:uiPriority w:val="99"/>
    <w:rsid w:val="001547C8"/>
    <w:rPr>
      <w:sz w:val="22"/>
      <w:szCs w:val="22"/>
      <w:lang w:eastAsia="en-US"/>
    </w:rPr>
  </w:style>
  <w:style w:type="paragraph" w:styleId="Footer">
    <w:name w:val="footer"/>
    <w:basedOn w:val="Normal"/>
    <w:link w:val="FooterChar"/>
    <w:uiPriority w:val="99"/>
    <w:unhideWhenUsed/>
    <w:rsid w:val="001547C8"/>
    <w:pPr>
      <w:tabs>
        <w:tab w:val="center" w:pos="4513"/>
        <w:tab w:val="right" w:pos="9026"/>
      </w:tabs>
    </w:pPr>
    <w:rPr>
      <w:lang w:val="x-none"/>
    </w:rPr>
  </w:style>
  <w:style w:type="character" w:customStyle="1" w:styleId="FooterChar">
    <w:name w:val="Footer Char"/>
    <w:link w:val="Footer"/>
    <w:uiPriority w:val="99"/>
    <w:rsid w:val="001547C8"/>
    <w:rPr>
      <w:sz w:val="22"/>
      <w:szCs w:val="22"/>
      <w:lang w:eastAsia="en-US"/>
    </w:rPr>
  </w:style>
  <w:style w:type="table" w:styleId="TableGrid">
    <w:name w:val="Table Grid"/>
    <w:basedOn w:val="TableNormal"/>
    <w:uiPriority w:val="59"/>
    <w:rsid w:val="001B3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DBF"/>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F0DB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0632475">
      <w:bodyDiv w:val="1"/>
      <w:marLeft w:val="0"/>
      <w:marRight w:val="0"/>
      <w:marTop w:val="0"/>
      <w:marBottom w:val="0"/>
      <w:divBdr>
        <w:top w:val="none" w:sz="0" w:space="0" w:color="auto"/>
        <w:left w:val="none" w:sz="0" w:space="0" w:color="auto"/>
        <w:bottom w:val="none" w:sz="0" w:space="0" w:color="auto"/>
        <w:right w:val="none" w:sz="0" w:space="0" w:color="auto"/>
      </w:divBdr>
      <w:divsChild>
        <w:div w:id="2083990695">
          <w:marLeft w:val="0"/>
          <w:marRight w:val="0"/>
          <w:marTop w:val="0"/>
          <w:marBottom w:val="0"/>
          <w:divBdr>
            <w:top w:val="none" w:sz="0" w:space="0" w:color="auto"/>
            <w:left w:val="none" w:sz="0" w:space="0" w:color="auto"/>
            <w:bottom w:val="none" w:sz="0" w:space="0" w:color="auto"/>
            <w:right w:val="none" w:sz="0" w:space="0" w:color="auto"/>
          </w:divBdr>
          <w:divsChild>
            <w:div w:id="393549498">
              <w:marLeft w:val="0"/>
              <w:marRight w:val="0"/>
              <w:marTop w:val="0"/>
              <w:marBottom w:val="0"/>
              <w:divBdr>
                <w:top w:val="none" w:sz="0" w:space="0" w:color="auto"/>
                <w:left w:val="none" w:sz="0" w:space="0" w:color="auto"/>
                <w:bottom w:val="none" w:sz="0" w:space="0" w:color="auto"/>
                <w:right w:val="none" w:sz="0" w:space="0" w:color="auto"/>
              </w:divBdr>
              <w:divsChild>
                <w:div w:id="1290357192">
                  <w:marLeft w:val="0"/>
                  <w:marRight w:val="0"/>
                  <w:marTop w:val="0"/>
                  <w:marBottom w:val="0"/>
                  <w:divBdr>
                    <w:top w:val="none" w:sz="0" w:space="0" w:color="auto"/>
                    <w:left w:val="none" w:sz="0" w:space="0" w:color="auto"/>
                    <w:bottom w:val="none" w:sz="0" w:space="0" w:color="auto"/>
                    <w:right w:val="none" w:sz="0" w:space="0" w:color="auto"/>
                  </w:divBdr>
                  <w:divsChild>
                    <w:div w:id="1791975606">
                      <w:marLeft w:val="0"/>
                      <w:marRight w:val="0"/>
                      <w:marTop w:val="0"/>
                      <w:marBottom w:val="0"/>
                      <w:divBdr>
                        <w:top w:val="none" w:sz="0" w:space="0" w:color="auto"/>
                        <w:left w:val="none" w:sz="0" w:space="0" w:color="auto"/>
                        <w:bottom w:val="none" w:sz="0" w:space="0" w:color="auto"/>
                        <w:right w:val="none" w:sz="0" w:space="0" w:color="auto"/>
                      </w:divBdr>
                      <w:divsChild>
                        <w:div w:id="2123305077">
                          <w:marLeft w:val="0"/>
                          <w:marRight w:val="0"/>
                          <w:marTop w:val="0"/>
                          <w:marBottom w:val="0"/>
                          <w:divBdr>
                            <w:top w:val="none" w:sz="0" w:space="0" w:color="auto"/>
                            <w:left w:val="none" w:sz="0" w:space="0" w:color="auto"/>
                            <w:bottom w:val="none" w:sz="0" w:space="0" w:color="auto"/>
                            <w:right w:val="none" w:sz="0" w:space="0" w:color="auto"/>
                          </w:divBdr>
                          <w:divsChild>
                            <w:div w:id="1349912205">
                              <w:marLeft w:val="0"/>
                              <w:marRight w:val="0"/>
                              <w:marTop w:val="0"/>
                              <w:marBottom w:val="0"/>
                              <w:divBdr>
                                <w:top w:val="none" w:sz="0" w:space="0" w:color="auto"/>
                                <w:left w:val="none" w:sz="0" w:space="0" w:color="auto"/>
                                <w:bottom w:val="none" w:sz="0" w:space="0" w:color="auto"/>
                                <w:right w:val="none" w:sz="0" w:space="0" w:color="auto"/>
                              </w:divBdr>
                              <w:divsChild>
                                <w:div w:id="1877812525">
                                  <w:marLeft w:val="0"/>
                                  <w:marRight w:val="0"/>
                                  <w:marTop w:val="0"/>
                                  <w:marBottom w:val="0"/>
                                  <w:divBdr>
                                    <w:top w:val="none" w:sz="0" w:space="0" w:color="auto"/>
                                    <w:left w:val="none" w:sz="0" w:space="0" w:color="auto"/>
                                    <w:bottom w:val="none" w:sz="0" w:space="0" w:color="auto"/>
                                    <w:right w:val="none" w:sz="0" w:space="0" w:color="auto"/>
                                  </w:divBdr>
                                </w:div>
                              </w:divsChild>
                            </w:div>
                            <w:div w:id="1583444012">
                              <w:marLeft w:val="0"/>
                              <w:marRight w:val="0"/>
                              <w:marTop w:val="0"/>
                              <w:marBottom w:val="0"/>
                              <w:divBdr>
                                <w:top w:val="none" w:sz="0" w:space="0" w:color="auto"/>
                                <w:left w:val="none" w:sz="0" w:space="0" w:color="auto"/>
                                <w:bottom w:val="none" w:sz="0" w:space="0" w:color="auto"/>
                                <w:right w:val="none" w:sz="0" w:space="0" w:color="auto"/>
                              </w:divBdr>
                              <w:divsChild>
                                <w:div w:id="340816756">
                                  <w:marLeft w:val="0"/>
                                  <w:marRight w:val="0"/>
                                  <w:marTop w:val="0"/>
                                  <w:marBottom w:val="0"/>
                                  <w:divBdr>
                                    <w:top w:val="none" w:sz="0" w:space="0" w:color="auto"/>
                                    <w:left w:val="none" w:sz="0" w:space="0" w:color="auto"/>
                                    <w:bottom w:val="none" w:sz="0" w:space="0" w:color="auto"/>
                                    <w:right w:val="none" w:sz="0" w:space="0" w:color="auto"/>
                                  </w:divBdr>
                                </w:div>
                              </w:divsChild>
                            </w:div>
                            <w:div w:id="1608808888">
                              <w:marLeft w:val="0"/>
                              <w:marRight w:val="0"/>
                              <w:marTop w:val="0"/>
                              <w:marBottom w:val="0"/>
                              <w:divBdr>
                                <w:top w:val="none" w:sz="0" w:space="0" w:color="auto"/>
                                <w:left w:val="none" w:sz="0" w:space="0" w:color="auto"/>
                                <w:bottom w:val="none" w:sz="0" w:space="0" w:color="auto"/>
                                <w:right w:val="none" w:sz="0" w:space="0" w:color="auto"/>
                              </w:divBdr>
                              <w:divsChild>
                                <w:div w:id="1692876079">
                                  <w:marLeft w:val="0"/>
                                  <w:marRight w:val="0"/>
                                  <w:marTop w:val="0"/>
                                  <w:marBottom w:val="0"/>
                                  <w:divBdr>
                                    <w:top w:val="none" w:sz="0" w:space="0" w:color="auto"/>
                                    <w:left w:val="none" w:sz="0" w:space="0" w:color="auto"/>
                                    <w:bottom w:val="none" w:sz="0" w:space="0" w:color="auto"/>
                                    <w:right w:val="none" w:sz="0" w:space="0" w:color="auto"/>
                                  </w:divBdr>
                                </w:div>
                              </w:divsChild>
                            </w:div>
                            <w:div w:id="1857231093">
                              <w:marLeft w:val="0"/>
                              <w:marRight w:val="0"/>
                              <w:marTop w:val="0"/>
                              <w:marBottom w:val="0"/>
                              <w:divBdr>
                                <w:top w:val="none" w:sz="0" w:space="0" w:color="auto"/>
                                <w:left w:val="none" w:sz="0" w:space="0" w:color="auto"/>
                                <w:bottom w:val="none" w:sz="0" w:space="0" w:color="auto"/>
                                <w:right w:val="none" w:sz="0" w:space="0" w:color="auto"/>
                              </w:divBdr>
                              <w:divsChild>
                                <w:div w:id="1228952725">
                                  <w:marLeft w:val="0"/>
                                  <w:marRight w:val="0"/>
                                  <w:marTop w:val="0"/>
                                  <w:marBottom w:val="0"/>
                                  <w:divBdr>
                                    <w:top w:val="none" w:sz="0" w:space="0" w:color="auto"/>
                                    <w:left w:val="none" w:sz="0" w:space="0" w:color="auto"/>
                                    <w:bottom w:val="none" w:sz="0" w:space="0" w:color="auto"/>
                                    <w:right w:val="none" w:sz="0" w:space="0" w:color="auto"/>
                                  </w:divBdr>
                                </w:div>
                              </w:divsChild>
                            </w:div>
                            <w:div w:id="1910118891">
                              <w:marLeft w:val="0"/>
                              <w:marRight w:val="0"/>
                              <w:marTop w:val="0"/>
                              <w:marBottom w:val="0"/>
                              <w:divBdr>
                                <w:top w:val="none" w:sz="0" w:space="0" w:color="auto"/>
                                <w:left w:val="none" w:sz="0" w:space="0" w:color="auto"/>
                                <w:bottom w:val="none" w:sz="0" w:space="0" w:color="auto"/>
                                <w:right w:val="none" w:sz="0" w:space="0" w:color="auto"/>
                              </w:divBdr>
                              <w:divsChild>
                                <w:div w:id="11926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097654">
      <w:bodyDiv w:val="1"/>
      <w:marLeft w:val="0"/>
      <w:marRight w:val="0"/>
      <w:marTop w:val="0"/>
      <w:marBottom w:val="0"/>
      <w:divBdr>
        <w:top w:val="none" w:sz="0" w:space="0" w:color="auto"/>
        <w:left w:val="none" w:sz="0" w:space="0" w:color="auto"/>
        <w:bottom w:val="none" w:sz="0" w:space="0" w:color="auto"/>
        <w:right w:val="none" w:sz="0" w:space="0" w:color="auto"/>
      </w:divBdr>
    </w:div>
    <w:div w:id="857280068">
      <w:bodyDiv w:val="1"/>
      <w:marLeft w:val="0"/>
      <w:marRight w:val="0"/>
      <w:marTop w:val="0"/>
      <w:marBottom w:val="0"/>
      <w:divBdr>
        <w:top w:val="none" w:sz="0" w:space="0" w:color="auto"/>
        <w:left w:val="none" w:sz="0" w:space="0" w:color="auto"/>
        <w:bottom w:val="none" w:sz="0" w:space="0" w:color="auto"/>
        <w:right w:val="none" w:sz="0" w:space="0" w:color="auto"/>
      </w:divBdr>
      <w:divsChild>
        <w:div w:id="1693534508">
          <w:marLeft w:val="0"/>
          <w:marRight w:val="0"/>
          <w:marTop w:val="0"/>
          <w:marBottom w:val="0"/>
          <w:divBdr>
            <w:top w:val="none" w:sz="0" w:space="0" w:color="auto"/>
            <w:left w:val="none" w:sz="0" w:space="0" w:color="auto"/>
            <w:bottom w:val="none" w:sz="0" w:space="0" w:color="auto"/>
            <w:right w:val="none" w:sz="0" w:space="0" w:color="auto"/>
          </w:divBdr>
          <w:divsChild>
            <w:div w:id="543367777">
              <w:marLeft w:val="0"/>
              <w:marRight w:val="0"/>
              <w:marTop w:val="0"/>
              <w:marBottom w:val="0"/>
              <w:divBdr>
                <w:top w:val="none" w:sz="0" w:space="0" w:color="auto"/>
                <w:left w:val="none" w:sz="0" w:space="0" w:color="auto"/>
                <w:bottom w:val="none" w:sz="0" w:space="0" w:color="auto"/>
                <w:right w:val="none" w:sz="0" w:space="0" w:color="auto"/>
              </w:divBdr>
              <w:divsChild>
                <w:div w:id="1518737430">
                  <w:marLeft w:val="0"/>
                  <w:marRight w:val="0"/>
                  <w:marTop w:val="0"/>
                  <w:marBottom w:val="0"/>
                  <w:divBdr>
                    <w:top w:val="none" w:sz="0" w:space="0" w:color="auto"/>
                    <w:left w:val="none" w:sz="0" w:space="0" w:color="auto"/>
                    <w:bottom w:val="none" w:sz="0" w:space="0" w:color="auto"/>
                    <w:right w:val="none" w:sz="0" w:space="0" w:color="auto"/>
                  </w:divBdr>
                  <w:divsChild>
                    <w:div w:id="39869489">
                      <w:marLeft w:val="0"/>
                      <w:marRight w:val="0"/>
                      <w:marTop w:val="0"/>
                      <w:marBottom w:val="0"/>
                      <w:divBdr>
                        <w:top w:val="none" w:sz="0" w:space="0" w:color="auto"/>
                        <w:left w:val="none" w:sz="0" w:space="0" w:color="auto"/>
                        <w:bottom w:val="none" w:sz="0" w:space="0" w:color="auto"/>
                        <w:right w:val="none" w:sz="0" w:space="0" w:color="auto"/>
                      </w:divBdr>
                      <w:divsChild>
                        <w:div w:id="933783222">
                          <w:marLeft w:val="0"/>
                          <w:marRight w:val="0"/>
                          <w:marTop w:val="0"/>
                          <w:marBottom w:val="0"/>
                          <w:divBdr>
                            <w:top w:val="none" w:sz="0" w:space="0" w:color="auto"/>
                            <w:left w:val="none" w:sz="0" w:space="0" w:color="auto"/>
                            <w:bottom w:val="none" w:sz="0" w:space="0" w:color="auto"/>
                            <w:right w:val="none" w:sz="0" w:space="0" w:color="auto"/>
                          </w:divBdr>
                          <w:divsChild>
                            <w:div w:id="66659668">
                              <w:marLeft w:val="0"/>
                              <w:marRight w:val="0"/>
                              <w:marTop w:val="0"/>
                              <w:marBottom w:val="0"/>
                              <w:divBdr>
                                <w:top w:val="none" w:sz="0" w:space="0" w:color="auto"/>
                                <w:left w:val="none" w:sz="0" w:space="0" w:color="auto"/>
                                <w:bottom w:val="none" w:sz="0" w:space="0" w:color="auto"/>
                                <w:right w:val="none" w:sz="0" w:space="0" w:color="auto"/>
                              </w:divBdr>
                              <w:divsChild>
                                <w:div w:id="157814838">
                                  <w:marLeft w:val="0"/>
                                  <w:marRight w:val="0"/>
                                  <w:marTop w:val="0"/>
                                  <w:marBottom w:val="0"/>
                                  <w:divBdr>
                                    <w:top w:val="none" w:sz="0" w:space="0" w:color="auto"/>
                                    <w:left w:val="none" w:sz="0" w:space="0" w:color="auto"/>
                                    <w:bottom w:val="none" w:sz="0" w:space="0" w:color="auto"/>
                                    <w:right w:val="none" w:sz="0" w:space="0" w:color="auto"/>
                                  </w:divBdr>
                                </w:div>
                              </w:divsChild>
                            </w:div>
                            <w:div w:id="124541892">
                              <w:marLeft w:val="0"/>
                              <w:marRight w:val="0"/>
                              <w:marTop w:val="0"/>
                              <w:marBottom w:val="0"/>
                              <w:divBdr>
                                <w:top w:val="none" w:sz="0" w:space="0" w:color="auto"/>
                                <w:left w:val="none" w:sz="0" w:space="0" w:color="auto"/>
                                <w:bottom w:val="none" w:sz="0" w:space="0" w:color="auto"/>
                                <w:right w:val="none" w:sz="0" w:space="0" w:color="auto"/>
                              </w:divBdr>
                              <w:divsChild>
                                <w:div w:id="1526290635">
                                  <w:marLeft w:val="0"/>
                                  <w:marRight w:val="0"/>
                                  <w:marTop w:val="0"/>
                                  <w:marBottom w:val="0"/>
                                  <w:divBdr>
                                    <w:top w:val="none" w:sz="0" w:space="0" w:color="auto"/>
                                    <w:left w:val="none" w:sz="0" w:space="0" w:color="auto"/>
                                    <w:bottom w:val="none" w:sz="0" w:space="0" w:color="auto"/>
                                    <w:right w:val="none" w:sz="0" w:space="0" w:color="auto"/>
                                  </w:divBdr>
                                </w:div>
                              </w:divsChild>
                            </w:div>
                            <w:div w:id="229510823">
                              <w:marLeft w:val="0"/>
                              <w:marRight w:val="0"/>
                              <w:marTop w:val="0"/>
                              <w:marBottom w:val="0"/>
                              <w:divBdr>
                                <w:top w:val="none" w:sz="0" w:space="0" w:color="auto"/>
                                <w:left w:val="none" w:sz="0" w:space="0" w:color="auto"/>
                                <w:bottom w:val="none" w:sz="0" w:space="0" w:color="auto"/>
                                <w:right w:val="none" w:sz="0" w:space="0" w:color="auto"/>
                              </w:divBdr>
                              <w:divsChild>
                                <w:div w:id="701438207">
                                  <w:marLeft w:val="0"/>
                                  <w:marRight w:val="0"/>
                                  <w:marTop w:val="0"/>
                                  <w:marBottom w:val="0"/>
                                  <w:divBdr>
                                    <w:top w:val="none" w:sz="0" w:space="0" w:color="auto"/>
                                    <w:left w:val="none" w:sz="0" w:space="0" w:color="auto"/>
                                    <w:bottom w:val="none" w:sz="0" w:space="0" w:color="auto"/>
                                    <w:right w:val="none" w:sz="0" w:space="0" w:color="auto"/>
                                  </w:divBdr>
                                </w:div>
                              </w:divsChild>
                            </w:div>
                            <w:div w:id="230700528">
                              <w:marLeft w:val="0"/>
                              <w:marRight w:val="0"/>
                              <w:marTop w:val="0"/>
                              <w:marBottom w:val="0"/>
                              <w:divBdr>
                                <w:top w:val="none" w:sz="0" w:space="0" w:color="auto"/>
                                <w:left w:val="none" w:sz="0" w:space="0" w:color="auto"/>
                                <w:bottom w:val="none" w:sz="0" w:space="0" w:color="auto"/>
                                <w:right w:val="none" w:sz="0" w:space="0" w:color="auto"/>
                              </w:divBdr>
                              <w:divsChild>
                                <w:div w:id="1799109566">
                                  <w:marLeft w:val="0"/>
                                  <w:marRight w:val="0"/>
                                  <w:marTop w:val="0"/>
                                  <w:marBottom w:val="0"/>
                                  <w:divBdr>
                                    <w:top w:val="none" w:sz="0" w:space="0" w:color="auto"/>
                                    <w:left w:val="none" w:sz="0" w:space="0" w:color="auto"/>
                                    <w:bottom w:val="none" w:sz="0" w:space="0" w:color="auto"/>
                                    <w:right w:val="none" w:sz="0" w:space="0" w:color="auto"/>
                                  </w:divBdr>
                                </w:div>
                              </w:divsChild>
                            </w:div>
                            <w:div w:id="503086319">
                              <w:marLeft w:val="0"/>
                              <w:marRight w:val="0"/>
                              <w:marTop w:val="0"/>
                              <w:marBottom w:val="0"/>
                              <w:divBdr>
                                <w:top w:val="none" w:sz="0" w:space="0" w:color="auto"/>
                                <w:left w:val="none" w:sz="0" w:space="0" w:color="auto"/>
                                <w:bottom w:val="none" w:sz="0" w:space="0" w:color="auto"/>
                                <w:right w:val="none" w:sz="0" w:space="0" w:color="auto"/>
                              </w:divBdr>
                              <w:divsChild>
                                <w:div w:id="417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293F-B509-4824-9C9D-F2F76B07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2460</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fac044</dc:creator>
  <cp:lastModifiedBy>gpr189</cp:lastModifiedBy>
  <cp:revision>2</cp:revision>
  <dcterms:created xsi:type="dcterms:W3CDTF">2013-04-17T07:46:00Z</dcterms:created>
  <dcterms:modified xsi:type="dcterms:W3CDTF">2013-04-17T07:46:00Z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