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B9" w:rsidRPr="00D347E6" w:rsidRDefault="00EF0FDD" w:rsidP="00EF0FDD">
      <w:pPr>
        <w:keepNext/>
        <w:keepLines/>
        <w:spacing w:after="0" w:line="480" w:lineRule="auto"/>
        <w:contextualSpacing/>
        <w:jc w:val="center"/>
        <w:rPr>
          <w:rFonts w:ascii="Arial" w:eastAsia="Arial" w:hAnsi="Arial" w:cs="Arial"/>
          <w:b/>
          <w:spacing w:val="5"/>
          <w:kern w:val="28"/>
          <w:sz w:val="36"/>
          <w:szCs w:val="38"/>
          <w:lang w:eastAsia="en-GB"/>
        </w:rPr>
      </w:pPr>
      <w:bookmarkStart w:id="0" w:name="_GoBack"/>
      <w:bookmarkEnd w:id="0"/>
      <w:r w:rsidRPr="00D347E6">
        <w:rPr>
          <w:rFonts w:ascii="Arial" w:eastAsia="Arial" w:hAnsi="Arial" w:cs="Arial"/>
          <w:b/>
          <w:spacing w:val="5"/>
          <w:kern w:val="28"/>
          <w:sz w:val="36"/>
          <w:szCs w:val="38"/>
          <w:lang w:eastAsia="en-GB"/>
        </w:rPr>
        <w:t>SELF-</w:t>
      </w:r>
      <w:r w:rsidR="00915BBD">
        <w:rPr>
          <w:rFonts w:ascii="Arial" w:eastAsia="Arial" w:hAnsi="Arial" w:cs="Arial"/>
          <w:b/>
          <w:spacing w:val="5"/>
          <w:kern w:val="28"/>
          <w:sz w:val="36"/>
          <w:szCs w:val="38"/>
          <w:lang w:eastAsia="en-GB"/>
        </w:rPr>
        <w:t>INSURING</w:t>
      </w:r>
      <w:r w:rsidRPr="00D347E6">
        <w:rPr>
          <w:rFonts w:ascii="Arial" w:eastAsia="Arial" w:hAnsi="Arial" w:cs="Arial"/>
          <w:b/>
          <w:spacing w:val="5"/>
          <w:kern w:val="28"/>
          <w:sz w:val="36"/>
          <w:szCs w:val="38"/>
          <w:lang w:eastAsia="en-GB"/>
        </w:rPr>
        <w:t xml:space="preserve"> </w:t>
      </w:r>
      <w:r w:rsidR="00754146" w:rsidRPr="00D347E6">
        <w:rPr>
          <w:rFonts w:ascii="Arial" w:eastAsia="Arial" w:hAnsi="Arial" w:cs="Arial"/>
          <w:b/>
          <w:spacing w:val="5"/>
          <w:kern w:val="28"/>
          <w:sz w:val="36"/>
          <w:szCs w:val="38"/>
          <w:lang w:eastAsia="en-GB"/>
        </w:rPr>
        <w:t xml:space="preserve">ENVIRONMENTAL </w:t>
      </w:r>
      <w:r w:rsidR="007D70AC" w:rsidRPr="00D347E6">
        <w:rPr>
          <w:rFonts w:ascii="Arial" w:eastAsia="Arial" w:hAnsi="Arial" w:cs="Arial"/>
          <w:b/>
          <w:spacing w:val="5"/>
          <w:kern w:val="28"/>
          <w:sz w:val="36"/>
          <w:szCs w:val="38"/>
          <w:lang w:eastAsia="en-GB"/>
        </w:rPr>
        <w:t>LIABILITIES</w:t>
      </w:r>
      <w:r w:rsidR="00B501B9" w:rsidRPr="00D347E6">
        <w:rPr>
          <w:rFonts w:ascii="Arial" w:eastAsia="Arial" w:hAnsi="Arial" w:cs="Arial"/>
          <w:b/>
          <w:spacing w:val="5"/>
          <w:kern w:val="28"/>
          <w:sz w:val="36"/>
          <w:szCs w:val="38"/>
          <w:lang w:eastAsia="en-GB"/>
        </w:rPr>
        <w:t>:</w:t>
      </w:r>
    </w:p>
    <w:p w:rsidR="00B501B9" w:rsidRPr="00D347E6" w:rsidRDefault="00B501B9" w:rsidP="00D347E6">
      <w:pPr>
        <w:keepNext/>
        <w:keepLines/>
        <w:spacing w:after="0" w:line="480" w:lineRule="auto"/>
        <w:contextualSpacing/>
        <w:jc w:val="center"/>
        <w:rPr>
          <w:rFonts w:ascii="Book Antiqua" w:eastAsia="Arial" w:hAnsi="Book Antiqua" w:cstheme="majorBidi"/>
          <w:b/>
          <w:spacing w:val="5"/>
          <w:kern w:val="28"/>
          <w:sz w:val="40"/>
          <w:szCs w:val="38"/>
          <w:lang w:eastAsia="en-GB"/>
        </w:rPr>
      </w:pPr>
      <w:r w:rsidRPr="00D347E6">
        <w:rPr>
          <w:rFonts w:ascii="Arial" w:eastAsia="Arial" w:hAnsi="Arial" w:cs="Arial"/>
          <w:b/>
          <w:spacing w:val="5"/>
          <w:kern w:val="28"/>
          <w:sz w:val="36"/>
          <w:szCs w:val="38"/>
          <w:lang w:eastAsia="en-GB"/>
        </w:rPr>
        <w:t>A RESIDUAL RISK-BEARER’S PERSPECTIVE</w:t>
      </w:r>
    </w:p>
    <w:p w:rsidR="00D347E6" w:rsidRPr="00D347E6" w:rsidRDefault="00D347E6" w:rsidP="00D347E6">
      <w:pPr>
        <w:keepNext/>
        <w:keepLines/>
        <w:spacing w:after="0" w:line="480" w:lineRule="auto"/>
        <w:contextualSpacing/>
        <w:jc w:val="center"/>
        <w:rPr>
          <w:rFonts w:ascii="Book Antiqua" w:eastAsia="Arial" w:hAnsi="Book Antiqua" w:cstheme="majorBidi"/>
          <w:spacing w:val="5"/>
          <w:kern w:val="28"/>
          <w:sz w:val="36"/>
          <w:szCs w:val="38"/>
          <w:lang w:eastAsia="en-GB"/>
        </w:rPr>
      </w:pPr>
    </w:p>
    <w:p w:rsidR="00811D5A" w:rsidRPr="00D347E6" w:rsidRDefault="00811D5A" w:rsidP="00811D5A">
      <w:pPr>
        <w:keepNext/>
        <w:keepLines/>
        <w:spacing w:after="0" w:line="480" w:lineRule="auto"/>
        <w:contextualSpacing/>
        <w:jc w:val="center"/>
        <w:rPr>
          <w:rFonts w:ascii="Arial" w:eastAsia="Arial" w:hAnsi="Arial" w:cs="Arial"/>
          <w:b/>
          <w:i/>
          <w:spacing w:val="5"/>
          <w:kern w:val="28"/>
          <w:sz w:val="28"/>
          <w:szCs w:val="28"/>
          <w:lang w:eastAsia="en-GB"/>
        </w:rPr>
      </w:pPr>
      <w:r w:rsidRPr="00D347E6">
        <w:rPr>
          <w:rFonts w:ascii="Arial" w:eastAsia="Arial" w:hAnsi="Arial" w:cs="Arial"/>
          <w:spacing w:val="5"/>
          <w:kern w:val="28"/>
          <w:sz w:val="28"/>
          <w:szCs w:val="28"/>
          <w:lang w:eastAsia="en-GB"/>
        </w:rPr>
        <w:t>COLIN MACKIE* AND VALERIE FOGLEMAN**</w:t>
      </w:r>
    </w:p>
    <w:p w:rsidR="00956749" w:rsidRDefault="00956749" w:rsidP="00B501B9">
      <w:pPr>
        <w:spacing w:after="0" w:line="360" w:lineRule="auto"/>
        <w:jc w:val="both"/>
        <w:rPr>
          <w:rFonts w:ascii="Arial" w:eastAsia="Arial" w:hAnsi="Arial" w:cs="Arial"/>
          <w:spacing w:val="5"/>
          <w:kern w:val="28"/>
          <w:sz w:val="28"/>
          <w:szCs w:val="28"/>
          <w:lang w:eastAsia="en-GB"/>
        </w:rPr>
      </w:pPr>
    </w:p>
    <w:p w:rsidR="00D12351" w:rsidRDefault="00D12351" w:rsidP="00B501B9">
      <w:pPr>
        <w:spacing w:after="0" w:line="360" w:lineRule="auto"/>
        <w:jc w:val="both"/>
        <w:rPr>
          <w:rFonts w:ascii="Arial" w:hAnsi="Arial" w:cs="Arial"/>
        </w:rPr>
      </w:pPr>
    </w:p>
    <w:p w:rsidR="00C9715D" w:rsidRDefault="00C9715D" w:rsidP="00B501B9">
      <w:pPr>
        <w:spacing w:after="0" w:line="360" w:lineRule="auto"/>
        <w:jc w:val="both"/>
        <w:rPr>
          <w:rFonts w:ascii="Arial" w:hAnsi="Arial" w:cs="Arial"/>
        </w:rPr>
      </w:pPr>
    </w:p>
    <w:p w:rsidR="00D347E6" w:rsidRPr="00C9715D" w:rsidRDefault="00C9715D" w:rsidP="00C9715D">
      <w:pPr>
        <w:spacing w:after="0" w:line="360" w:lineRule="auto"/>
        <w:jc w:val="center"/>
        <w:rPr>
          <w:rFonts w:ascii="Arial" w:hAnsi="Arial" w:cs="Arial"/>
          <w:i/>
        </w:rPr>
      </w:pPr>
      <w:r w:rsidRPr="00C9715D">
        <w:rPr>
          <w:rFonts w:ascii="Arial" w:hAnsi="Arial" w:cs="Arial"/>
          <w:i/>
        </w:rPr>
        <w:t>Abstract</w:t>
      </w:r>
    </w:p>
    <w:p w:rsidR="00C9715D" w:rsidRDefault="00C9715D" w:rsidP="00C9715D">
      <w:pPr>
        <w:spacing w:after="0" w:line="360" w:lineRule="auto"/>
        <w:jc w:val="center"/>
        <w:rPr>
          <w:rFonts w:ascii="Arial" w:hAnsi="Arial" w:cs="Arial"/>
        </w:rPr>
      </w:pPr>
    </w:p>
    <w:p w:rsidR="00956749" w:rsidRPr="00245CA4" w:rsidRDefault="00EB3941" w:rsidP="00C9715D">
      <w:pPr>
        <w:tabs>
          <w:tab w:val="left" w:pos="8789"/>
        </w:tabs>
        <w:spacing w:after="0" w:line="360" w:lineRule="auto"/>
        <w:ind w:left="284" w:right="237"/>
        <w:jc w:val="both"/>
        <w:rPr>
          <w:rFonts w:ascii="Arial" w:hAnsi="Arial" w:cs="Arial"/>
          <w:i/>
        </w:rPr>
      </w:pPr>
      <w:r>
        <w:rPr>
          <w:rFonts w:ascii="Arial" w:hAnsi="Arial" w:cs="Arial"/>
          <w:i/>
        </w:rPr>
        <w:t>Self-</w:t>
      </w:r>
      <w:r w:rsidR="00915BBD">
        <w:rPr>
          <w:rFonts w:ascii="Arial" w:hAnsi="Arial" w:cs="Arial"/>
          <w:i/>
        </w:rPr>
        <w:t>insurance</w:t>
      </w:r>
      <w:r>
        <w:rPr>
          <w:rFonts w:ascii="Arial" w:hAnsi="Arial" w:cs="Arial"/>
          <w:i/>
        </w:rPr>
        <w:t xml:space="preserve"> is </w:t>
      </w:r>
      <w:r w:rsidR="002E1C80">
        <w:rPr>
          <w:rFonts w:ascii="Arial" w:hAnsi="Arial" w:cs="Arial"/>
          <w:i/>
        </w:rPr>
        <w:t>often permitted as a</w:t>
      </w:r>
      <w:r>
        <w:rPr>
          <w:rFonts w:ascii="Arial" w:hAnsi="Arial" w:cs="Arial"/>
          <w:i/>
        </w:rPr>
        <w:t xml:space="preserve"> means of satisfying regulatory requirements imposed on operators to evidence </w:t>
      </w:r>
      <w:r w:rsidR="005E456E">
        <w:rPr>
          <w:rFonts w:ascii="Arial" w:hAnsi="Arial" w:cs="Arial"/>
          <w:i/>
        </w:rPr>
        <w:t>cap</w:t>
      </w:r>
      <w:r w:rsidR="006C3259">
        <w:rPr>
          <w:rFonts w:ascii="Arial" w:hAnsi="Arial" w:cs="Arial"/>
          <w:i/>
        </w:rPr>
        <w:t>ability</w:t>
      </w:r>
      <w:r>
        <w:rPr>
          <w:rFonts w:ascii="Arial" w:hAnsi="Arial" w:cs="Arial"/>
          <w:i/>
        </w:rPr>
        <w:t xml:space="preserve"> to bear their environmental liabilities</w:t>
      </w:r>
      <w:r w:rsidRPr="00245CA4">
        <w:rPr>
          <w:rFonts w:ascii="Arial" w:hAnsi="Arial" w:cs="Arial"/>
          <w:i/>
        </w:rPr>
        <w:t xml:space="preserve">. </w:t>
      </w:r>
      <w:r w:rsidR="002E1C80">
        <w:rPr>
          <w:rFonts w:ascii="Arial" w:hAnsi="Arial" w:cs="Arial"/>
          <w:i/>
        </w:rPr>
        <w:t xml:space="preserve">Its </w:t>
      </w:r>
      <w:r w:rsidR="00991CBA">
        <w:rPr>
          <w:rFonts w:ascii="Arial" w:hAnsi="Arial" w:cs="Arial"/>
          <w:i/>
        </w:rPr>
        <w:t>hallmark</w:t>
      </w:r>
      <w:r w:rsidR="000E3C46">
        <w:rPr>
          <w:rFonts w:ascii="Arial" w:hAnsi="Arial" w:cs="Arial"/>
          <w:i/>
        </w:rPr>
        <w:t xml:space="preserve"> </w:t>
      </w:r>
      <w:r w:rsidR="00991CBA">
        <w:rPr>
          <w:rFonts w:ascii="Arial" w:hAnsi="Arial" w:cs="Arial"/>
          <w:i/>
        </w:rPr>
        <w:t>is that</w:t>
      </w:r>
      <w:r w:rsidR="00B320B0" w:rsidRPr="00245CA4">
        <w:rPr>
          <w:rFonts w:ascii="Arial" w:hAnsi="Arial" w:cs="Arial"/>
          <w:i/>
        </w:rPr>
        <w:t xml:space="preserve"> </w:t>
      </w:r>
      <w:r w:rsidR="0075286E" w:rsidRPr="00245CA4">
        <w:rPr>
          <w:rFonts w:ascii="Arial" w:hAnsi="Arial" w:cs="Arial"/>
          <w:i/>
        </w:rPr>
        <w:t xml:space="preserve">operators or </w:t>
      </w:r>
      <w:r w:rsidR="00991CBA">
        <w:rPr>
          <w:rFonts w:ascii="Arial" w:hAnsi="Arial" w:cs="Arial"/>
          <w:i/>
        </w:rPr>
        <w:t>their</w:t>
      </w:r>
      <w:r w:rsidR="0075286E" w:rsidRPr="00245CA4">
        <w:rPr>
          <w:rFonts w:ascii="Arial" w:hAnsi="Arial" w:cs="Arial"/>
          <w:i/>
        </w:rPr>
        <w:t xml:space="preserve"> parent compan</w:t>
      </w:r>
      <w:r w:rsidR="00991CBA">
        <w:rPr>
          <w:rFonts w:ascii="Arial" w:hAnsi="Arial" w:cs="Arial"/>
          <w:i/>
        </w:rPr>
        <w:t>ies</w:t>
      </w:r>
      <w:r w:rsidR="0075286E" w:rsidRPr="00245CA4">
        <w:rPr>
          <w:rFonts w:ascii="Arial" w:hAnsi="Arial" w:cs="Arial"/>
          <w:i/>
        </w:rPr>
        <w:t xml:space="preserve"> </w:t>
      </w:r>
      <w:r w:rsidR="00B320B0" w:rsidRPr="00245CA4">
        <w:rPr>
          <w:rFonts w:ascii="Arial" w:hAnsi="Arial" w:cs="Arial"/>
          <w:i/>
        </w:rPr>
        <w:t xml:space="preserve">prove </w:t>
      </w:r>
      <w:r w:rsidR="00991CBA">
        <w:rPr>
          <w:rFonts w:ascii="Arial" w:hAnsi="Arial" w:cs="Arial"/>
          <w:i/>
        </w:rPr>
        <w:t xml:space="preserve">their </w:t>
      </w:r>
      <w:r w:rsidR="00B320B0" w:rsidRPr="00245CA4">
        <w:rPr>
          <w:rFonts w:ascii="Arial" w:hAnsi="Arial" w:cs="Arial"/>
          <w:i/>
        </w:rPr>
        <w:t xml:space="preserve">financial strength </w:t>
      </w:r>
      <w:r w:rsidR="00991CBA">
        <w:rPr>
          <w:rFonts w:ascii="Arial" w:hAnsi="Arial" w:cs="Arial"/>
          <w:i/>
        </w:rPr>
        <w:t xml:space="preserve">rather than </w:t>
      </w:r>
      <w:r w:rsidR="00F178B1">
        <w:rPr>
          <w:rFonts w:ascii="Arial" w:hAnsi="Arial" w:cs="Arial"/>
          <w:i/>
        </w:rPr>
        <w:t>dedicate</w:t>
      </w:r>
      <w:r w:rsidR="002B4D64">
        <w:rPr>
          <w:rFonts w:ascii="Arial" w:hAnsi="Arial" w:cs="Arial"/>
          <w:i/>
        </w:rPr>
        <w:t xml:space="preserve"> specific assets/</w:t>
      </w:r>
      <w:r w:rsidR="00B320B0" w:rsidRPr="00245CA4">
        <w:rPr>
          <w:rFonts w:ascii="Arial" w:hAnsi="Arial" w:cs="Arial"/>
          <w:i/>
        </w:rPr>
        <w:t xml:space="preserve">funds </w:t>
      </w:r>
      <w:r w:rsidR="00245CA4">
        <w:rPr>
          <w:rFonts w:ascii="Arial" w:hAnsi="Arial" w:cs="Arial"/>
          <w:i/>
        </w:rPr>
        <w:t xml:space="preserve">to cover </w:t>
      </w:r>
      <w:r w:rsidR="002E1C80">
        <w:rPr>
          <w:rFonts w:ascii="Arial" w:hAnsi="Arial" w:cs="Arial"/>
          <w:i/>
        </w:rPr>
        <w:t xml:space="preserve">these costs. </w:t>
      </w:r>
      <w:r w:rsidR="000E3C46">
        <w:rPr>
          <w:rFonts w:ascii="Arial" w:hAnsi="Arial" w:cs="Arial"/>
          <w:i/>
        </w:rPr>
        <w:t xml:space="preserve">This article examines whether </w:t>
      </w:r>
      <w:r w:rsidR="002E1C80">
        <w:rPr>
          <w:rFonts w:ascii="Arial" w:hAnsi="Arial" w:cs="Arial"/>
          <w:i/>
        </w:rPr>
        <w:t>self-</w:t>
      </w:r>
      <w:r w:rsidR="00915BBD">
        <w:rPr>
          <w:rFonts w:ascii="Arial" w:hAnsi="Arial" w:cs="Arial"/>
          <w:i/>
        </w:rPr>
        <w:t>insurance</w:t>
      </w:r>
      <w:r w:rsidR="000E3C46">
        <w:rPr>
          <w:rFonts w:ascii="Arial" w:hAnsi="Arial" w:cs="Arial"/>
          <w:i/>
        </w:rPr>
        <w:t xml:space="preserve"> can </w:t>
      </w:r>
      <w:r w:rsidR="000E3C46" w:rsidRPr="00991CBA">
        <w:rPr>
          <w:rFonts w:ascii="Arial" w:hAnsi="Arial" w:cs="Arial"/>
          <w:i/>
        </w:rPr>
        <w:t>ensure</w:t>
      </w:r>
      <w:r w:rsidR="002B4D64">
        <w:rPr>
          <w:rFonts w:ascii="Arial" w:hAnsi="Arial" w:cs="Arial"/>
          <w:i/>
        </w:rPr>
        <w:t xml:space="preserve"> that</w:t>
      </w:r>
      <w:r w:rsidR="000E3C46" w:rsidRPr="00991CBA">
        <w:rPr>
          <w:rFonts w:ascii="Arial" w:hAnsi="Arial" w:cs="Arial"/>
          <w:i/>
        </w:rPr>
        <w:t xml:space="preserve"> adequate funds </w:t>
      </w:r>
      <w:r w:rsidR="002E1C80">
        <w:rPr>
          <w:rFonts w:ascii="Arial" w:hAnsi="Arial" w:cs="Arial"/>
          <w:i/>
        </w:rPr>
        <w:t>are</w:t>
      </w:r>
      <w:r w:rsidR="000E3C46" w:rsidRPr="00991CBA">
        <w:rPr>
          <w:rFonts w:ascii="Arial" w:hAnsi="Arial" w:cs="Arial"/>
          <w:i/>
        </w:rPr>
        <w:t xml:space="preserve"> available </w:t>
      </w:r>
      <w:r w:rsidR="000E3C46">
        <w:rPr>
          <w:rFonts w:ascii="Arial" w:hAnsi="Arial" w:cs="Arial"/>
          <w:i/>
        </w:rPr>
        <w:t>when required.</w:t>
      </w:r>
      <w:r w:rsidR="000E3C46" w:rsidRPr="00991CBA">
        <w:rPr>
          <w:rFonts w:ascii="Arial" w:hAnsi="Arial" w:cs="Arial"/>
          <w:i/>
        </w:rPr>
        <w:t xml:space="preserve"> </w:t>
      </w:r>
      <w:r w:rsidR="00B320B0" w:rsidRPr="00245CA4">
        <w:rPr>
          <w:rFonts w:ascii="Arial" w:hAnsi="Arial" w:cs="Arial"/>
          <w:i/>
        </w:rPr>
        <w:t xml:space="preserve">It is argued that </w:t>
      </w:r>
      <w:r w:rsidR="00245CA4">
        <w:rPr>
          <w:rFonts w:ascii="Arial" w:hAnsi="Arial" w:cs="Arial"/>
          <w:i/>
        </w:rPr>
        <w:t>if</w:t>
      </w:r>
      <w:r w:rsidR="00915BBD">
        <w:rPr>
          <w:rFonts w:ascii="Arial" w:hAnsi="Arial" w:cs="Arial"/>
          <w:i/>
        </w:rPr>
        <w:t xml:space="preserve"> a self-insuring</w:t>
      </w:r>
      <w:r w:rsidR="00915BBD" w:rsidRPr="00915BBD">
        <w:rPr>
          <w:rFonts w:ascii="Arial" w:hAnsi="Arial" w:cs="Arial"/>
          <w:i/>
        </w:rPr>
        <w:t xml:space="preserve"> </w:t>
      </w:r>
      <w:r w:rsidR="00B320B0" w:rsidRPr="00245CA4">
        <w:rPr>
          <w:rFonts w:ascii="Arial" w:hAnsi="Arial" w:cs="Arial"/>
          <w:i/>
        </w:rPr>
        <w:t xml:space="preserve">operator and/or its parent </w:t>
      </w:r>
      <w:r w:rsidR="00B82B0C" w:rsidRPr="00245CA4">
        <w:rPr>
          <w:rFonts w:ascii="Arial" w:hAnsi="Arial" w:cs="Arial"/>
          <w:i/>
        </w:rPr>
        <w:t>enter</w:t>
      </w:r>
      <w:r w:rsidR="00B320B0" w:rsidRPr="00245CA4">
        <w:rPr>
          <w:rFonts w:ascii="Arial" w:hAnsi="Arial" w:cs="Arial"/>
          <w:i/>
        </w:rPr>
        <w:t xml:space="preserve"> into liquidation</w:t>
      </w:r>
      <w:r w:rsidR="00E233C3" w:rsidRPr="00245CA4">
        <w:rPr>
          <w:rFonts w:ascii="Arial" w:hAnsi="Arial" w:cs="Arial"/>
          <w:i/>
        </w:rPr>
        <w:t xml:space="preserve"> then</w:t>
      </w:r>
      <w:r w:rsidR="00B320B0" w:rsidRPr="00245CA4">
        <w:rPr>
          <w:rFonts w:ascii="Arial" w:hAnsi="Arial" w:cs="Arial"/>
          <w:i/>
        </w:rPr>
        <w:t xml:space="preserve"> the protection afforded to their creditors under insolvency law </w:t>
      </w:r>
      <w:r w:rsidR="0075286E" w:rsidRPr="00245CA4">
        <w:rPr>
          <w:rFonts w:ascii="Arial" w:hAnsi="Arial" w:cs="Arial"/>
          <w:i/>
        </w:rPr>
        <w:t>may</w:t>
      </w:r>
      <w:r w:rsidR="00B320B0" w:rsidRPr="00245CA4">
        <w:rPr>
          <w:rFonts w:ascii="Arial" w:hAnsi="Arial" w:cs="Arial"/>
          <w:i/>
        </w:rPr>
        <w:t xml:space="preserve"> result in an environmental regulator </w:t>
      </w:r>
      <w:r w:rsidR="00E233C3" w:rsidRPr="00245CA4">
        <w:rPr>
          <w:rFonts w:ascii="Arial" w:hAnsi="Arial" w:cs="Arial"/>
          <w:i/>
        </w:rPr>
        <w:t>recovering</w:t>
      </w:r>
      <w:r w:rsidR="00B320B0" w:rsidRPr="00245CA4">
        <w:rPr>
          <w:rFonts w:ascii="Arial" w:hAnsi="Arial" w:cs="Arial"/>
          <w:i/>
        </w:rPr>
        <w:t xml:space="preserve"> little or, indeed, nothing </w:t>
      </w:r>
      <w:r w:rsidR="00C64D4A">
        <w:rPr>
          <w:rFonts w:ascii="Arial" w:hAnsi="Arial" w:cs="Arial"/>
          <w:i/>
        </w:rPr>
        <w:t>in respect of</w:t>
      </w:r>
      <w:r w:rsidR="00B320B0" w:rsidRPr="00245CA4">
        <w:rPr>
          <w:rFonts w:ascii="Arial" w:hAnsi="Arial" w:cs="Arial"/>
          <w:i/>
        </w:rPr>
        <w:t xml:space="preserve"> the costs associated with any requisite preventive, remedial or restorative works. This protection includes </w:t>
      </w:r>
      <w:r w:rsidR="00245CA4">
        <w:rPr>
          <w:rFonts w:ascii="Arial" w:hAnsi="Arial" w:cs="Arial"/>
          <w:i/>
        </w:rPr>
        <w:t>a</w:t>
      </w:r>
      <w:r w:rsidR="00B320B0" w:rsidRPr="00245CA4">
        <w:rPr>
          <w:rFonts w:ascii="Arial" w:hAnsi="Arial" w:cs="Arial"/>
          <w:i/>
        </w:rPr>
        <w:t xml:space="preserve"> liquidator’s ability to disclaim ‘onerous property’ and</w:t>
      </w:r>
      <w:r w:rsidR="00245CA4">
        <w:rPr>
          <w:rFonts w:ascii="Arial" w:hAnsi="Arial" w:cs="Arial"/>
          <w:i/>
        </w:rPr>
        <w:t xml:space="preserve"> challenge certain payments made to the regulator</w:t>
      </w:r>
      <w:r w:rsidR="00B320B0" w:rsidRPr="00245CA4">
        <w:rPr>
          <w:rFonts w:ascii="Arial" w:hAnsi="Arial" w:cs="Arial"/>
          <w:i/>
        </w:rPr>
        <w:t xml:space="preserve"> as a voidable </w:t>
      </w:r>
      <w:r w:rsidR="002B4D64">
        <w:rPr>
          <w:rFonts w:ascii="Arial" w:hAnsi="Arial" w:cs="Arial"/>
          <w:i/>
        </w:rPr>
        <w:t>‘</w:t>
      </w:r>
      <w:r w:rsidR="00B320B0" w:rsidRPr="00245CA4">
        <w:rPr>
          <w:rFonts w:ascii="Arial" w:hAnsi="Arial" w:cs="Arial"/>
          <w:i/>
        </w:rPr>
        <w:t>preference</w:t>
      </w:r>
      <w:r w:rsidR="002B4D64">
        <w:rPr>
          <w:rFonts w:ascii="Arial" w:hAnsi="Arial" w:cs="Arial"/>
          <w:i/>
        </w:rPr>
        <w:t>’</w:t>
      </w:r>
      <w:r w:rsidR="00B320B0" w:rsidRPr="00245CA4">
        <w:rPr>
          <w:rFonts w:ascii="Arial" w:hAnsi="Arial" w:cs="Arial"/>
          <w:i/>
        </w:rPr>
        <w:t xml:space="preserve">. Whilst </w:t>
      </w:r>
      <w:r w:rsidR="00F178B1">
        <w:rPr>
          <w:rFonts w:ascii="Arial" w:hAnsi="Arial" w:cs="Arial"/>
          <w:i/>
        </w:rPr>
        <w:t xml:space="preserve">commentators have highlighted </w:t>
      </w:r>
      <w:r w:rsidR="00E233C3" w:rsidRPr="00245CA4">
        <w:rPr>
          <w:rFonts w:ascii="Arial" w:hAnsi="Arial" w:cs="Arial"/>
          <w:i/>
        </w:rPr>
        <w:t>a</w:t>
      </w:r>
      <w:r w:rsidR="00B320B0" w:rsidRPr="00245CA4">
        <w:rPr>
          <w:rFonts w:ascii="Arial" w:hAnsi="Arial" w:cs="Arial"/>
          <w:i/>
        </w:rPr>
        <w:t xml:space="preserve"> general insolvency risk </w:t>
      </w:r>
      <w:r w:rsidR="00F178B1">
        <w:rPr>
          <w:rFonts w:ascii="Arial" w:hAnsi="Arial" w:cs="Arial"/>
          <w:i/>
        </w:rPr>
        <w:t>with</w:t>
      </w:r>
      <w:r w:rsidR="00B320B0" w:rsidRPr="00245CA4">
        <w:rPr>
          <w:rFonts w:ascii="Arial" w:hAnsi="Arial" w:cs="Arial"/>
          <w:i/>
        </w:rPr>
        <w:t xml:space="preserve"> the measure</w:t>
      </w:r>
      <w:r w:rsidR="00F178B1">
        <w:rPr>
          <w:rFonts w:ascii="Arial" w:hAnsi="Arial" w:cs="Arial"/>
          <w:i/>
        </w:rPr>
        <w:t xml:space="preserve">, </w:t>
      </w:r>
      <w:r w:rsidR="00C64D4A">
        <w:rPr>
          <w:rFonts w:ascii="Arial" w:hAnsi="Arial" w:cs="Arial"/>
          <w:i/>
        </w:rPr>
        <w:t xml:space="preserve">neither </w:t>
      </w:r>
      <w:r w:rsidR="00F178B1">
        <w:rPr>
          <w:rFonts w:ascii="Arial" w:hAnsi="Arial" w:cs="Arial"/>
          <w:i/>
        </w:rPr>
        <w:t xml:space="preserve">its </w:t>
      </w:r>
      <w:r w:rsidR="00B320B0" w:rsidRPr="00245CA4">
        <w:rPr>
          <w:rFonts w:ascii="Arial" w:hAnsi="Arial" w:cs="Arial"/>
          <w:i/>
        </w:rPr>
        <w:t xml:space="preserve">extent </w:t>
      </w:r>
      <w:r w:rsidR="00C64D4A">
        <w:rPr>
          <w:rFonts w:ascii="Arial" w:hAnsi="Arial" w:cs="Arial"/>
          <w:i/>
        </w:rPr>
        <w:t>nor</w:t>
      </w:r>
      <w:r w:rsidR="008E20C7">
        <w:rPr>
          <w:rFonts w:ascii="Arial" w:hAnsi="Arial" w:cs="Arial"/>
          <w:i/>
        </w:rPr>
        <w:t xml:space="preserve"> precise source </w:t>
      </w:r>
      <w:r w:rsidR="00B320B0" w:rsidRPr="00245CA4">
        <w:rPr>
          <w:rFonts w:ascii="Arial" w:hAnsi="Arial" w:cs="Arial"/>
          <w:i/>
        </w:rPr>
        <w:t>has</w:t>
      </w:r>
      <w:r w:rsidR="008E20C7">
        <w:rPr>
          <w:rFonts w:ascii="Arial" w:hAnsi="Arial" w:cs="Arial"/>
          <w:i/>
        </w:rPr>
        <w:t xml:space="preserve"> </w:t>
      </w:r>
      <w:r w:rsidR="00B320B0" w:rsidRPr="00245CA4">
        <w:rPr>
          <w:rFonts w:ascii="Arial" w:hAnsi="Arial" w:cs="Arial"/>
          <w:i/>
        </w:rPr>
        <w:t>been appreciated fully.</w:t>
      </w:r>
    </w:p>
    <w:p w:rsidR="00F4723D" w:rsidRDefault="00F4723D" w:rsidP="00F4723D"/>
    <w:p w:rsidR="00A14397" w:rsidRDefault="00B501B9" w:rsidP="00A14397">
      <w:pPr>
        <w:spacing w:after="0" w:line="360" w:lineRule="auto"/>
        <w:jc w:val="both"/>
        <w:rPr>
          <w:rFonts w:ascii="Arial" w:hAnsi="Arial" w:cs="Arial"/>
        </w:rPr>
      </w:pPr>
      <w:proofErr w:type="gramStart"/>
      <w:r w:rsidRPr="00F62B52">
        <w:rPr>
          <w:rFonts w:ascii="Arial" w:hAnsi="Arial" w:cs="Arial"/>
        </w:rPr>
        <w:t>KEYWORDS.</w:t>
      </w:r>
      <w:proofErr w:type="gramEnd"/>
      <w:r w:rsidRPr="00F62B52">
        <w:rPr>
          <w:rFonts w:ascii="Arial" w:hAnsi="Arial" w:cs="Arial"/>
        </w:rPr>
        <w:t xml:space="preserve"> </w:t>
      </w:r>
      <w:proofErr w:type="gramStart"/>
      <w:r w:rsidR="005B3FAC" w:rsidRPr="00F62B52">
        <w:rPr>
          <w:rFonts w:ascii="Arial" w:hAnsi="Arial" w:cs="Arial"/>
        </w:rPr>
        <w:t>environmental</w:t>
      </w:r>
      <w:proofErr w:type="gramEnd"/>
      <w:r w:rsidR="005B3FAC" w:rsidRPr="00F62B52">
        <w:rPr>
          <w:rFonts w:ascii="Arial" w:hAnsi="Arial" w:cs="Arial"/>
        </w:rPr>
        <w:t xml:space="preserve"> liability</w:t>
      </w:r>
      <w:r w:rsidR="005B3FAC">
        <w:rPr>
          <w:rFonts w:ascii="Arial" w:hAnsi="Arial" w:cs="Arial"/>
        </w:rPr>
        <w:t>,</w:t>
      </w:r>
      <w:r w:rsidR="005B3FAC" w:rsidRPr="00F62B52">
        <w:rPr>
          <w:rFonts w:ascii="Arial" w:hAnsi="Arial" w:cs="Arial"/>
        </w:rPr>
        <w:t xml:space="preserve"> </w:t>
      </w:r>
      <w:r w:rsidRPr="00F62B52">
        <w:rPr>
          <w:rFonts w:ascii="Arial" w:hAnsi="Arial" w:cs="Arial"/>
        </w:rPr>
        <w:t xml:space="preserve">financial security, </w:t>
      </w:r>
      <w:r w:rsidR="00D347E6">
        <w:rPr>
          <w:rFonts w:ascii="Arial" w:hAnsi="Arial" w:cs="Arial"/>
        </w:rPr>
        <w:t>self-</w:t>
      </w:r>
      <w:r w:rsidR="00915BBD" w:rsidRPr="00915BBD">
        <w:rPr>
          <w:rFonts w:ascii="Arial" w:hAnsi="Arial" w:cs="Arial"/>
        </w:rPr>
        <w:t>insurance</w:t>
      </w:r>
      <w:r w:rsidR="00D347E6">
        <w:rPr>
          <w:rFonts w:ascii="Arial" w:hAnsi="Arial" w:cs="Arial"/>
        </w:rPr>
        <w:t xml:space="preserve">, </w:t>
      </w:r>
      <w:r w:rsidRPr="00F62B52">
        <w:rPr>
          <w:rFonts w:ascii="Arial" w:hAnsi="Arial" w:cs="Arial"/>
        </w:rPr>
        <w:t>environmental damage, cost recovery, remediation</w:t>
      </w:r>
      <w:r w:rsidR="00E07A11">
        <w:rPr>
          <w:rFonts w:ascii="Arial" w:hAnsi="Arial" w:cs="Arial"/>
        </w:rPr>
        <w:t>, disclaimer, charge on premises, voidable preference</w:t>
      </w:r>
    </w:p>
    <w:p w:rsidR="00A14397" w:rsidRDefault="00A14397" w:rsidP="00A14397">
      <w:pPr>
        <w:spacing w:after="0" w:line="360" w:lineRule="auto"/>
        <w:jc w:val="both"/>
        <w:rPr>
          <w:rFonts w:ascii="Arial" w:hAnsi="Arial" w:cs="Arial"/>
        </w:rPr>
      </w:pPr>
    </w:p>
    <w:p w:rsidR="00A14397" w:rsidRPr="00A14397" w:rsidRDefault="00A14397" w:rsidP="00A14397">
      <w:pPr>
        <w:spacing w:after="0" w:line="360" w:lineRule="auto"/>
        <w:jc w:val="both"/>
        <w:rPr>
          <w:rFonts w:ascii="Arial" w:hAnsi="Arial" w:cs="Arial"/>
        </w:rPr>
      </w:pPr>
    </w:p>
    <w:p w:rsidR="00085088" w:rsidRPr="00C9715D" w:rsidRDefault="00C9715D" w:rsidP="00C9715D">
      <w:pPr>
        <w:pStyle w:val="Heading1"/>
        <w:numPr>
          <w:ilvl w:val="0"/>
          <w:numId w:val="0"/>
        </w:numPr>
        <w:ind w:left="709" w:hanging="709"/>
      </w:pPr>
      <w:r w:rsidRPr="00C9715D">
        <w:lastRenderedPageBreak/>
        <w:t>A.  INTRODUCTION</w:t>
      </w:r>
    </w:p>
    <w:p w:rsidR="00C9715D" w:rsidRPr="00C9715D" w:rsidRDefault="00C9715D" w:rsidP="00A0175C">
      <w:pPr>
        <w:pStyle w:val="PhDParagraph"/>
      </w:pPr>
    </w:p>
    <w:p w:rsidR="00A0175C" w:rsidRPr="00A0175C" w:rsidRDefault="00616CD2" w:rsidP="003F28E8">
      <w:pPr>
        <w:pStyle w:val="PhDParagraphnoIdent"/>
        <w:rPr>
          <w:lang w:eastAsia="en-GB"/>
        </w:rPr>
      </w:pPr>
      <w:r>
        <w:t>There is</w:t>
      </w:r>
      <w:r w:rsidR="000A4ED9" w:rsidRPr="00415D9C">
        <w:t xml:space="preserve"> a growing recognition of the need to find solut</w:t>
      </w:r>
      <w:r w:rsidR="000A4ED9">
        <w:t>ions to the problem of operator</w:t>
      </w:r>
      <w:r w:rsidR="000A4ED9" w:rsidRPr="00415D9C">
        <w:t xml:space="preserve">s externalising their environmental </w:t>
      </w:r>
      <w:r w:rsidR="00692839">
        <w:t>liabilities</w:t>
      </w:r>
      <w:r w:rsidR="005B56C2">
        <w:rPr>
          <w:rStyle w:val="FootnoteReference"/>
        </w:rPr>
        <w:footnoteReference w:id="1"/>
      </w:r>
      <w:r w:rsidR="00F14835">
        <w:t xml:space="preserve"> on insolvency</w:t>
      </w:r>
      <w:r w:rsidR="000A4ED9" w:rsidRPr="00415D9C">
        <w:t>.</w:t>
      </w:r>
      <w:r w:rsidR="000A4ED9" w:rsidRPr="00415D9C">
        <w:rPr>
          <w:vertAlign w:val="superscript"/>
        </w:rPr>
        <w:footnoteReference w:id="2"/>
      </w:r>
      <w:r w:rsidR="002F7465">
        <w:t xml:space="preserve"> </w:t>
      </w:r>
      <w:r w:rsidR="008C540B">
        <w:t>One</w:t>
      </w:r>
      <w:r w:rsidR="00015087">
        <w:t xml:space="preserve"> option is to mandate</w:t>
      </w:r>
      <w:r w:rsidR="000A4ED9" w:rsidRPr="00415D9C">
        <w:t xml:space="preserve"> </w:t>
      </w:r>
      <w:r w:rsidR="00015087">
        <w:t>by</w:t>
      </w:r>
      <w:r w:rsidR="000A4ED9" w:rsidRPr="00415D9C">
        <w:t xml:space="preserve"> legislation</w:t>
      </w:r>
      <w:r w:rsidR="00015087">
        <w:t xml:space="preserve"> or</w:t>
      </w:r>
      <w:r w:rsidR="000A4ED9">
        <w:t xml:space="preserve"> </w:t>
      </w:r>
      <w:r w:rsidR="008C540B">
        <w:t>provisions</w:t>
      </w:r>
      <w:r w:rsidR="000A4ED9" w:rsidRPr="00415D9C">
        <w:t xml:space="preserve"> </w:t>
      </w:r>
      <w:r w:rsidR="000A4ED9">
        <w:t>in permits</w:t>
      </w:r>
      <w:r w:rsidR="00063939">
        <w:t xml:space="preserve"> or other</w:t>
      </w:r>
      <w:r w:rsidR="000A4ED9">
        <w:t xml:space="preserve"> authorisations</w:t>
      </w:r>
      <w:r w:rsidR="000A4ED9" w:rsidRPr="00415D9C">
        <w:t xml:space="preserve"> that the operator or </w:t>
      </w:r>
      <w:r w:rsidR="007C3352">
        <w:t>another</w:t>
      </w:r>
      <w:r w:rsidR="000A4ED9" w:rsidRPr="00415D9C">
        <w:t xml:space="preserve"> relevant person </w:t>
      </w:r>
      <w:r w:rsidR="008C540B">
        <w:t>provides and maintains evidence of financial security in the form of</w:t>
      </w:r>
      <w:r w:rsidR="008C540B" w:rsidRPr="00415D9C">
        <w:t xml:space="preserve"> a certificate or other </w:t>
      </w:r>
      <w:r w:rsidR="008C540B">
        <w:t>documentation</w:t>
      </w:r>
      <w:r w:rsidR="008C540B" w:rsidRPr="00415D9C">
        <w:t xml:space="preserve"> </w:t>
      </w:r>
      <w:r w:rsidR="00063939">
        <w:t xml:space="preserve">to meet the cost of </w:t>
      </w:r>
      <w:r w:rsidR="00A73B26">
        <w:t>the operator’</w:t>
      </w:r>
      <w:r w:rsidR="00BB6A4B">
        <w:t xml:space="preserve">s </w:t>
      </w:r>
      <w:r w:rsidR="00063939">
        <w:t>environmental liabilities</w:t>
      </w:r>
      <w:r w:rsidR="000A4ED9">
        <w:t>.</w:t>
      </w:r>
      <w:r w:rsidR="000A4ED9" w:rsidRPr="00415D9C">
        <w:rPr>
          <w:vertAlign w:val="superscript"/>
        </w:rPr>
        <w:footnoteReference w:id="3"/>
      </w:r>
      <w:r w:rsidR="000A4ED9">
        <w:t xml:space="preserve"> </w:t>
      </w:r>
      <w:r w:rsidR="00F14835" w:rsidRPr="00B00736">
        <w:t>This</w:t>
      </w:r>
      <w:r w:rsidR="000A4ED9" w:rsidRPr="00B00736">
        <w:rPr>
          <w:rFonts w:cs="Arial"/>
        </w:rPr>
        <w:t xml:space="preserve"> </w:t>
      </w:r>
      <w:r w:rsidR="00F47E65" w:rsidRPr="00B00736">
        <w:t>is</w:t>
      </w:r>
      <w:r w:rsidR="000A4ED9" w:rsidRPr="00B00736">
        <w:t xml:space="preserve"> increasingly common in EU environmental law</w:t>
      </w:r>
      <w:r w:rsidR="00F14835" w:rsidRPr="00B00736">
        <w:t>,</w:t>
      </w:r>
      <w:r w:rsidR="00063939" w:rsidRPr="00B00736">
        <w:rPr>
          <w:rStyle w:val="FootnoteReference"/>
        </w:rPr>
        <w:footnoteReference w:id="4"/>
      </w:r>
      <w:r w:rsidR="00063939" w:rsidRPr="00B00736">
        <w:t xml:space="preserve"> </w:t>
      </w:r>
      <w:r w:rsidR="00A0175C" w:rsidRPr="00A0175C">
        <w:rPr>
          <w:lang w:eastAsia="en-GB"/>
        </w:rPr>
        <w:t>and has long been a requirement in international conventions concerning marine oil pollution and nuclear facilities.</w:t>
      </w:r>
      <w:r w:rsidR="007F5FE6">
        <w:rPr>
          <w:rStyle w:val="FootnoteReference"/>
          <w:lang w:eastAsia="en-GB"/>
        </w:rPr>
        <w:footnoteReference w:id="5"/>
      </w:r>
    </w:p>
    <w:p w:rsidR="0018130D" w:rsidRPr="0018130D" w:rsidRDefault="000A4ED9" w:rsidP="00C62F42">
      <w:pPr>
        <w:pStyle w:val="PhDParagraph"/>
      </w:pPr>
      <w:r>
        <w:t xml:space="preserve">There are two </w:t>
      </w:r>
      <w:r w:rsidR="00015087">
        <w:t>main</w:t>
      </w:r>
      <w:r>
        <w:t xml:space="preserve"> ways of </w:t>
      </w:r>
      <w:r w:rsidR="00616CD2">
        <w:t>evidencing</w:t>
      </w:r>
      <w:r>
        <w:t xml:space="preserve"> financial security:</w:t>
      </w:r>
      <w:r w:rsidR="00EF7E28">
        <w:t xml:space="preserve"> firstly,</w:t>
      </w:r>
      <w:r>
        <w:t xml:space="preserve"> </w:t>
      </w:r>
      <w:r w:rsidRPr="007D5F94">
        <w:t xml:space="preserve">setting aside monies </w:t>
      </w:r>
      <w:r w:rsidR="00015087">
        <w:t xml:space="preserve">or assets </w:t>
      </w:r>
      <w:r w:rsidRPr="007D5F94">
        <w:t>with</w:t>
      </w:r>
      <w:r w:rsidR="00BB6A4B">
        <w:t>, or transferring environmental risks to,</w:t>
      </w:r>
      <w:r w:rsidRPr="007D5F94">
        <w:t xml:space="preserve"> a third</w:t>
      </w:r>
      <w:r w:rsidR="009D4227">
        <w:t>-</w:t>
      </w:r>
      <w:r w:rsidR="00CE7535">
        <w:t>party</w:t>
      </w:r>
      <w:r>
        <w:t>,</w:t>
      </w:r>
      <w:r w:rsidRPr="007D5F94">
        <w:t xml:space="preserve"> and</w:t>
      </w:r>
      <w:r w:rsidR="00EF7E28">
        <w:t>, secondly,</w:t>
      </w:r>
      <w:r w:rsidRPr="007D5F94">
        <w:t xml:space="preserve"> </w:t>
      </w:r>
      <w:r w:rsidR="00915BBD" w:rsidRPr="00915BBD">
        <w:t>self-insurance</w:t>
      </w:r>
      <w:r w:rsidRPr="007D5F94">
        <w:t xml:space="preserve"> </w:t>
      </w:r>
      <w:r w:rsidR="00BB6A4B">
        <w:t>based on</w:t>
      </w:r>
      <w:r w:rsidRPr="007D5F94">
        <w:t xml:space="preserve"> the financial strength of </w:t>
      </w:r>
      <w:r w:rsidR="00A14397">
        <w:t xml:space="preserve">the regulated company </w:t>
      </w:r>
      <w:r w:rsidR="00BB6A4B">
        <w:t xml:space="preserve">or its </w:t>
      </w:r>
      <w:r w:rsidRPr="007D5F94">
        <w:t>parent company</w:t>
      </w:r>
      <w:r>
        <w:t>.</w:t>
      </w:r>
      <w:r w:rsidRPr="00415D9C">
        <w:t xml:space="preserve"> </w:t>
      </w:r>
      <w:r w:rsidR="000D0C9B" w:rsidRPr="000D0C9B">
        <w:lastRenderedPageBreak/>
        <w:t xml:space="preserve">In the latter instance, the parent enters into an agreement with the regulator </w:t>
      </w:r>
      <w:r w:rsidR="000E7897">
        <w:t>(e</w:t>
      </w:r>
      <w:r w:rsidR="004D3179">
        <w:t>.</w:t>
      </w:r>
      <w:r w:rsidR="000E7897">
        <w:t>g</w:t>
      </w:r>
      <w:r w:rsidR="004D3179">
        <w:t>.</w:t>
      </w:r>
      <w:r w:rsidR="00EF7E28">
        <w:t xml:space="preserve"> the Environment Agency) </w:t>
      </w:r>
      <w:r w:rsidR="000D0C9B" w:rsidRPr="000D0C9B">
        <w:t>and the subsidiary to fund the requisite costs by means of a guarantee or a bond</w:t>
      </w:r>
      <w:r w:rsidR="005E778F">
        <w:t xml:space="preserve"> (often called </w:t>
      </w:r>
      <w:r w:rsidR="000E7897">
        <w:t>a self-bond</w:t>
      </w:r>
      <w:r w:rsidR="005E778F">
        <w:t>)</w:t>
      </w:r>
      <w:r w:rsidR="000D0C9B" w:rsidRPr="000D0C9B">
        <w:t>.</w:t>
      </w:r>
      <w:r w:rsidR="000D0C9B">
        <w:t xml:space="preserve"> </w:t>
      </w:r>
      <w:r w:rsidRPr="00415D9C">
        <w:t xml:space="preserve">The rationale underpinning </w:t>
      </w:r>
      <w:r w:rsidR="0088752B">
        <w:t>self-</w:t>
      </w:r>
      <w:r w:rsidR="00915BBD" w:rsidRPr="00915BBD">
        <w:t xml:space="preserve">insurance </w:t>
      </w:r>
      <w:r w:rsidRPr="00415D9C">
        <w:t xml:space="preserve">is that </w:t>
      </w:r>
      <w:r w:rsidR="00275CA9">
        <w:t>profitable and stable</w:t>
      </w:r>
      <w:r w:rsidRPr="00415D9C">
        <w:t xml:space="preserve"> companies are able to bear </w:t>
      </w:r>
      <w:r w:rsidR="00CE7535">
        <w:t xml:space="preserve">their </w:t>
      </w:r>
      <w:r w:rsidR="0018130D">
        <w:t>environmental liabilities</w:t>
      </w:r>
      <w:r w:rsidRPr="00415D9C">
        <w:t xml:space="preserve"> without </w:t>
      </w:r>
      <w:r w:rsidR="00594258">
        <w:t>involving</w:t>
      </w:r>
      <w:r w:rsidRPr="00415D9C">
        <w:t xml:space="preserve"> third-part</w:t>
      </w:r>
      <w:r w:rsidR="0088752B">
        <w:t>ies</w:t>
      </w:r>
      <w:r w:rsidR="00802401">
        <w:t>,</w:t>
      </w:r>
      <w:r w:rsidRPr="00415D9C">
        <w:t xml:space="preserve"> such as insurers.</w:t>
      </w:r>
      <w:r w:rsidRPr="00415D9C">
        <w:rPr>
          <w:vertAlign w:val="superscript"/>
        </w:rPr>
        <w:footnoteReference w:id="6"/>
      </w:r>
      <w:r>
        <w:t xml:space="preserve"> </w:t>
      </w:r>
      <w:r w:rsidR="00594258">
        <w:t>Operators or their parents</w:t>
      </w:r>
      <w:r w:rsidR="006A25B6" w:rsidRPr="006A25B6">
        <w:t xml:space="preserve"> must</w:t>
      </w:r>
      <w:r w:rsidR="0018130D">
        <w:t>, however,</w:t>
      </w:r>
      <w:r w:rsidR="006A25B6" w:rsidRPr="006A25B6">
        <w:t xml:space="preserve"> meet specified criteria to show their financial net worth or credit rating. </w:t>
      </w:r>
      <w:r w:rsidR="0018130D">
        <w:t xml:space="preserve">This results in </w:t>
      </w:r>
      <w:r w:rsidR="00915BBD" w:rsidRPr="00915BBD">
        <w:t xml:space="preserve">self-insurance </w:t>
      </w:r>
      <w:r w:rsidR="0018130D">
        <w:t>often resembling</w:t>
      </w:r>
      <w:r w:rsidR="006A25B6" w:rsidRPr="006A25B6">
        <w:t xml:space="preserve"> requirements to show that a company is financially </w:t>
      </w:r>
      <w:r w:rsidR="00513FD0">
        <w:t xml:space="preserve">healthy and </w:t>
      </w:r>
      <w:r w:rsidR="006A25B6" w:rsidRPr="006A25B6">
        <w:t>capable of carrying</w:t>
      </w:r>
      <w:r w:rsidR="00616CD2">
        <w:t xml:space="preserve"> out obligations under a permit or </w:t>
      </w:r>
      <w:r w:rsidR="006A25B6" w:rsidRPr="006A25B6">
        <w:t>licence</w:t>
      </w:r>
      <w:r w:rsidR="0018130D">
        <w:t>.</w:t>
      </w:r>
      <w:r w:rsidR="00513FD0">
        <w:rPr>
          <w:rStyle w:val="FootnoteReference"/>
        </w:rPr>
        <w:footnoteReference w:id="7"/>
      </w:r>
      <w:r w:rsidR="0018130D">
        <w:t xml:space="preserve"> </w:t>
      </w:r>
      <w:r w:rsidR="004F17E4">
        <w:t>The latter</w:t>
      </w:r>
      <w:r w:rsidR="00697F6C">
        <w:t xml:space="preserve"> </w:t>
      </w:r>
      <w:r w:rsidR="00B05286">
        <w:t>can</w:t>
      </w:r>
      <w:r w:rsidR="004C43AC">
        <w:t xml:space="preserve"> be seen as</w:t>
      </w:r>
      <w:r w:rsidR="00697F6C">
        <w:t xml:space="preserve"> </w:t>
      </w:r>
      <w:r w:rsidR="00915BBD" w:rsidRPr="00915BBD">
        <w:t xml:space="preserve">self-insurance </w:t>
      </w:r>
      <w:r w:rsidR="00697F6C">
        <w:t>under a different badge</w:t>
      </w:r>
      <w:r w:rsidR="004F17E4">
        <w:t xml:space="preserve"> and</w:t>
      </w:r>
      <w:r w:rsidR="00015087">
        <w:t xml:space="preserve"> is</w:t>
      </w:r>
      <w:r w:rsidR="004C43AC">
        <w:t xml:space="preserve"> considered as such in this </w:t>
      </w:r>
      <w:r w:rsidR="000A3190">
        <w:t>article</w:t>
      </w:r>
      <w:r w:rsidR="004C43AC">
        <w:t>.</w:t>
      </w:r>
    </w:p>
    <w:p w:rsidR="004E7EA3" w:rsidRDefault="000A4ED9" w:rsidP="00C62F42">
      <w:pPr>
        <w:pStyle w:val="PhDParagraph"/>
      </w:pPr>
      <w:r w:rsidRPr="00275CA9">
        <w:t>Various commentators have examined the advantages and disadvantages of financial security for environmental liabilities.</w:t>
      </w:r>
      <w:r w:rsidRPr="00275CA9">
        <w:rPr>
          <w:rStyle w:val="FootnoteReference"/>
        </w:rPr>
        <w:footnoteReference w:id="8"/>
      </w:r>
      <w:r w:rsidRPr="00275CA9">
        <w:t xml:space="preserve"> </w:t>
      </w:r>
      <w:r w:rsidR="00E34E08" w:rsidRPr="00275CA9">
        <w:t xml:space="preserve">Whilst some </w:t>
      </w:r>
      <w:r w:rsidR="000E7897">
        <w:t xml:space="preserve">have </w:t>
      </w:r>
      <w:r w:rsidR="00D567B1">
        <w:t>observe</w:t>
      </w:r>
      <w:r w:rsidR="000E7897">
        <w:t xml:space="preserve">d that </w:t>
      </w:r>
      <w:r w:rsidR="00915BBD">
        <w:t>self-</w:t>
      </w:r>
      <w:r w:rsidR="00915BBD" w:rsidRPr="00915BBD">
        <w:t>insurance</w:t>
      </w:r>
      <w:r w:rsidR="000E7897">
        <w:t xml:space="preserve"> exhibits </w:t>
      </w:r>
      <w:r w:rsidR="00E34E08" w:rsidRPr="00275CA9">
        <w:t>a general insolvency risk,</w:t>
      </w:r>
      <w:r w:rsidR="00E34E08" w:rsidRPr="00275CA9">
        <w:rPr>
          <w:vertAlign w:val="superscript"/>
        </w:rPr>
        <w:footnoteReference w:id="9"/>
      </w:r>
      <w:r w:rsidR="00E34E08" w:rsidRPr="00275CA9">
        <w:t xml:space="preserve"> none</w:t>
      </w:r>
      <w:r w:rsidR="0004176D">
        <w:t xml:space="preserve"> have</w:t>
      </w:r>
      <w:r w:rsidR="00E34E08" w:rsidRPr="00275CA9">
        <w:t xml:space="preserve"> considered the extent or precise </w:t>
      </w:r>
      <w:r w:rsidR="00E34E08" w:rsidRPr="00275CA9">
        <w:lastRenderedPageBreak/>
        <w:t>source of</w:t>
      </w:r>
      <w:r w:rsidR="0004176D">
        <w:t xml:space="preserve"> the</w:t>
      </w:r>
      <w:r w:rsidR="00E34E08" w:rsidRPr="00275CA9">
        <w:t xml:space="preserve"> risk posed by the measure under the law of England and Wales</w:t>
      </w:r>
      <w:r w:rsidRPr="00275CA9">
        <w:t xml:space="preserve">. The purpose of this </w:t>
      </w:r>
      <w:r w:rsidR="000A3190" w:rsidRPr="00275CA9">
        <w:t>article</w:t>
      </w:r>
      <w:r w:rsidRPr="00275CA9">
        <w:t xml:space="preserve"> is to fill that gap and, specifically, to examine </w:t>
      </w:r>
      <w:r w:rsidR="00915BBD" w:rsidRPr="00915BBD">
        <w:t>self-insurance</w:t>
      </w:r>
      <w:r w:rsidR="00CE7535" w:rsidRPr="00275CA9">
        <w:t>’s</w:t>
      </w:r>
      <w:r w:rsidRPr="00275CA9">
        <w:t xml:space="preserve"> remedial</w:t>
      </w:r>
      <w:r w:rsidRPr="00C32393">
        <w:t xml:space="preserve"> capacity</w:t>
      </w:r>
      <w:r>
        <w:t xml:space="preserve">. This </w:t>
      </w:r>
      <w:r w:rsidR="00C919FB">
        <w:t>is</w:t>
      </w:r>
      <w:r>
        <w:t xml:space="preserve"> defined as the extent to which an operator that self-insures or </w:t>
      </w:r>
      <w:r w:rsidR="009A7299" w:rsidRPr="009A7299">
        <w:t xml:space="preserve">is backed by a parent company guarantee or bond </w:t>
      </w:r>
      <w:r>
        <w:t xml:space="preserve">can ensure that adequate funds will be available to </w:t>
      </w:r>
      <w:r w:rsidR="000242F6">
        <w:t>meet</w:t>
      </w:r>
      <w:r w:rsidR="000242F6" w:rsidRPr="000242F6">
        <w:t xml:space="preserve"> </w:t>
      </w:r>
      <w:r w:rsidR="00193D92">
        <w:t xml:space="preserve">its environmental </w:t>
      </w:r>
      <w:r w:rsidR="00594258">
        <w:t>liabilities</w:t>
      </w:r>
      <w:r w:rsidR="000242F6" w:rsidRPr="000242F6">
        <w:t>.</w:t>
      </w:r>
      <w:r>
        <w:t xml:space="preserve"> A strong remedial capacity</w:t>
      </w:r>
      <w:r w:rsidRPr="00415D9C">
        <w:t xml:space="preserve"> </w:t>
      </w:r>
      <w:r w:rsidR="002E30EF">
        <w:t>may be viewed</w:t>
      </w:r>
      <w:r w:rsidRPr="00415D9C">
        <w:t xml:space="preserve"> as a necessary precursor to the effective implementation of the polluter-pays principle </w:t>
      </w:r>
      <w:r w:rsidR="00CF1033">
        <w:t>under</w:t>
      </w:r>
      <w:r w:rsidRPr="00415D9C">
        <w:t xml:space="preserve"> EU law</w:t>
      </w:r>
      <w:r w:rsidR="005E778F">
        <w:t>, which</w:t>
      </w:r>
      <w:r w:rsidR="007C247F">
        <w:t xml:space="preserve"> seeks</w:t>
      </w:r>
      <w:r w:rsidRPr="00415D9C">
        <w:t xml:space="preserve"> to </w:t>
      </w:r>
      <w:r w:rsidR="00460963">
        <w:t>ensure that</w:t>
      </w:r>
      <w:r w:rsidRPr="00415D9C">
        <w:t xml:space="preserve"> </w:t>
      </w:r>
      <w:r w:rsidR="00CF1033">
        <w:t>those</w:t>
      </w:r>
      <w:r w:rsidRPr="00415D9C">
        <w:t xml:space="preserve"> who cause environmental damage pay to remedy it.</w:t>
      </w:r>
      <w:r w:rsidRPr="00415D9C">
        <w:rPr>
          <w:vertAlign w:val="superscript"/>
        </w:rPr>
        <w:footnoteReference w:id="10"/>
      </w:r>
      <w:r>
        <w:t xml:space="preserve"> </w:t>
      </w:r>
    </w:p>
    <w:p w:rsidR="00E738B6" w:rsidRPr="00E738B6" w:rsidRDefault="00E738B6" w:rsidP="00B03125">
      <w:pPr>
        <w:pStyle w:val="PhDParagraph"/>
        <w:rPr>
          <w:rFonts w:cs="Arial"/>
          <w:bCs/>
        </w:rPr>
      </w:pPr>
      <w:r w:rsidRPr="00E738B6">
        <w:t xml:space="preserve">Examination of </w:t>
      </w:r>
      <w:r w:rsidR="00915BBD" w:rsidRPr="00915BBD">
        <w:t>self-insurance</w:t>
      </w:r>
      <w:r w:rsidRPr="00E738B6">
        <w:t xml:space="preserve">’s remedial capacity is important as society is the ultimate residual risk-bearer of the environmental </w:t>
      </w:r>
      <w:r w:rsidR="006B2B8D">
        <w:t>liabilities</w:t>
      </w:r>
      <w:r w:rsidRPr="00E738B6">
        <w:t xml:space="preserve"> externalised upon insolvency. If no other </w:t>
      </w:r>
      <w:r w:rsidR="00015087">
        <w:t xml:space="preserve">responsible </w:t>
      </w:r>
      <w:r w:rsidRPr="00E738B6">
        <w:t>party is found liable, the environment will either remain unremediated or the State and, consequently, society as a body of taxpayers will be required to pay.</w:t>
      </w:r>
      <w:r w:rsidRPr="00E738B6">
        <w:rPr>
          <w:vertAlign w:val="superscript"/>
        </w:rPr>
        <w:footnoteReference w:id="11"/>
      </w:r>
      <w:r w:rsidRPr="00E738B6">
        <w:rPr>
          <w:rFonts w:cs="Arial"/>
          <w:bCs/>
        </w:rPr>
        <w:t xml:space="preserve"> In such circumstances, society either pays metaphorically through inhabiting a lower quality environment or financially through incurring the </w:t>
      </w:r>
      <w:r w:rsidR="00AB00AB">
        <w:rPr>
          <w:rFonts w:cs="Arial"/>
          <w:bCs/>
        </w:rPr>
        <w:t xml:space="preserve">requisite restoration or remediation </w:t>
      </w:r>
      <w:r w:rsidRPr="00E738B6">
        <w:rPr>
          <w:rFonts w:cs="Arial"/>
          <w:bCs/>
        </w:rPr>
        <w:t xml:space="preserve">costs. </w:t>
      </w:r>
      <w:r w:rsidR="004E3024">
        <w:rPr>
          <w:rFonts w:cs="Arial"/>
          <w:bCs/>
        </w:rPr>
        <w:t xml:space="preserve">The failure of </w:t>
      </w:r>
      <w:r w:rsidR="00915BBD" w:rsidRPr="00915BBD">
        <w:rPr>
          <w:rFonts w:cs="Arial"/>
          <w:bCs/>
        </w:rPr>
        <w:t>self-insurance</w:t>
      </w:r>
      <w:r w:rsidR="004E3024">
        <w:rPr>
          <w:rFonts w:cs="Arial"/>
          <w:bCs/>
        </w:rPr>
        <w:t xml:space="preserve"> also </w:t>
      </w:r>
      <w:r w:rsidR="00015087">
        <w:rPr>
          <w:rFonts w:cs="Arial"/>
          <w:bCs/>
        </w:rPr>
        <w:t>affects</w:t>
      </w:r>
      <w:r w:rsidR="00BE5F04">
        <w:rPr>
          <w:rFonts w:cs="Arial"/>
          <w:bCs/>
        </w:rPr>
        <w:t xml:space="preserve"> other stakeholders</w:t>
      </w:r>
      <w:r w:rsidR="00BE5F04">
        <w:t xml:space="preserve">. For example, </w:t>
      </w:r>
      <w:r w:rsidR="00E70C6D">
        <w:t>a</w:t>
      </w:r>
      <w:r w:rsidRPr="00E738B6">
        <w:t xml:space="preserve"> regulator </w:t>
      </w:r>
      <w:r w:rsidR="00015087">
        <w:t>may</w:t>
      </w:r>
      <w:r w:rsidRPr="00E738B6">
        <w:t xml:space="preserve"> </w:t>
      </w:r>
      <w:r w:rsidR="00B872AA">
        <w:t xml:space="preserve">seek to </w:t>
      </w:r>
      <w:r w:rsidRPr="00E738B6">
        <w:t xml:space="preserve">bring </w:t>
      </w:r>
      <w:r w:rsidR="006B2B8D">
        <w:t>an action</w:t>
      </w:r>
      <w:r w:rsidRPr="00E738B6">
        <w:t xml:space="preserve"> against a</w:t>
      </w:r>
      <w:r w:rsidR="00015087">
        <w:t>n insolvent or financially stressed subsidiary’s</w:t>
      </w:r>
      <w:r w:rsidRPr="00E738B6">
        <w:t xml:space="preserve"> parent</w:t>
      </w:r>
      <w:r w:rsidR="00D567B1">
        <w:t xml:space="preserve"> or an affiliate company</w:t>
      </w:r>
      <w:r w:rsidRPr="00E738B6">
        <w:t>, either directly under relevant statutory language</w:t>
      </w:r>
      <w:r w:rsidR="00087014">
        <w:t>,</w:t>
      </w:r>
      <w:r w:rsidRPr="00E738B6">
        <w:rPr>
          <w:vertAlign w:val="superscript"/>
        </w:rPr>
        <w:footnoteReference w:id="12"/>
      </w:r>
      <w:r w:rsidRPr="00E738B6">
        <w:t xml:space="preserve"> or</w:t>
      </w:r>
      <w:r w:rsidR="00087014">
        <w:t xml:space="preserve"> </w:t>
      </w:r>
      <w:r w:rsidR="003F3236">
        <w:t>perhaps with less success,</w:t>
      </w:r>
      <w:r w:rsidR="00087014" w:rsidRPr="00E738B6">
        <w:rPr>
          <w:vertAlign w:val="superscript"/>
        </w:rPr>
        <w:footnoteReference w:id="13"/>
      </w:r>
      <w:r w:rsidRPr="00E738B6">
        <w:t xml:space="preserve"> derivatively by </w:t>
      </w:r>
      <w:r w:rsidR="003F3236">
        <w:t xml:space="preserve">attempting </w:t>
      </w:r>
      <w:r w:rsidR="0037462C">
        <w:t>to pierce</w:t>
      </w:r>
      <w:r w:rsidRPr="00E738B6">
        <w:t xml:space="preserve"> the corporate veil. </w:t>
      </w:r>
      <w:r w:rsidR="00BE5F04">
        <w:t>The need to do so</w:t>
      </w:r>
      <w:r w:rsidRPr="00E738B6">
        <w:t xml:space="preserve"> </w:t>
      </w:r>
      <w:r w:rsidR="00BE5F04">
        <w:t xml:space="preserve">would be reduced </w:t>
      </w:r>
      <w:r w:rsidR="00015087">
        <w:t>if</w:t>
      </w:r>
      <w:r w:rsidR="00BE5F04">
        <w:t xml:space="preserve"> </w:t>
      </w:r>
      <w:r w:rsidRPr="00E738B6">
        <w:t xml:space="preserve">the subsidiary was required </w:t>
      </w:r>
      <w:r w:rsidR="00E70C6D">
        <w:t>to offer</w:t>
      </w:r>
      <w:r w:rsidR="009D18FA">
        <w:t xml:space="preserve"> security, </w:t>
      </w:r>
      <w:r w:rsidR="00E70C6D">
        <w:t>such as a cash deposit, and</w:t>
      </w:r>
      <w:r w:rsidR="009D18FA">
        <w:t xml:space="preserve"> that </w:t>
      </w:r>
      <w:r w:rsidR="009D18FA">
        <w:lastRenderedPageBreak/>
        <w:t>security</w:t>
      </w:r>
      <w:r w:rsidRPr="00E738B6">
        <w:t xml:space="preserve"> was ring-fenced from insolvency proceedings.</w:t>
      </w:r>
      <w:r w:rsidR="00B872AA">
        <w:rPr>
          <w:rStyle w:val="FootnoteReference"/>
        </w:rPr>
        <w:footnoteReference w:id="14"/>
      </w:r>
      <w:r w:rsidR="00E70C6D">
        <w:t xml:space="preserve"> This</w:t>
      </w:r>
      <w:r w:rsidRPr="00E738B6">
        <w:t xml:space="preserve"> would be less complex and less controversial than proposals to </w:t>
      </w:r>
      <w:r w:rsidR="0037462C">
        <w:t>reform the doctrine of limited liability</w:t>
      </w:r>
      <w:r w:rsidRPr="00E738B6">
        <w:t>.</w:t>
      </w:r>
      <w:r w:rsidRPr="00E738B6">
        <w:rPr>
          <w:vertAlign w:val="superscript"/>
        </w:rPr>
        <w:footnoteReference w:id="15"/>
      </w:r>
    </w:p>
    <w:p w:rsidR="005E1BCB" w:rsidRDefault="000A4ED9" w:rsidP="006227CE">
      <w:pPr>
        <w:pStyle w:val="PhDParagraph"/>
      </w:pPr>
      <w:r w:rsidRPr="00415D9C">
        <w:t xml:space="preserve">The central claim of this </w:t>
      </w:r>
      <w:r w:rsidR="000A3190">
        <w:t>article</w:t>
      </w:r>
      <w:r w:rsidRPr="00415D9C">
        <w:t xml:space="preserve"> is that whilst</w:t>
      </w:r>
      <w:r>
        <w:t xml:space="preserve"> </w:t>
      </w:r>
      <w:r w:rsidR="00915BBD" w:rsidRPr="00915BBD">
        <w:t>self-insurance</w:t>
      </w:r>
      <w:r w:rsidRPr="00415D9C">
        <w:t xml:space="preserve"> may be considered </w:t>
      </w:r>
      <w:r w:rsidR="00DF2B71">
        <w:t xml:space="preserve">by </w:t>
      </w:r>
      <w:r w:rsidR="00E1649F" w:rsidRPr="00E1649F">
        <w:t xml:space="preserve">financially-strong companies </w:t>
      </w:r>
      <w:r w:rsidR="00DF2B71">
        <w:t>to be the most cost-</w:t>
      </w:r>
      <w:r w:rsidRPr="00415D9C">
        <w:t xml:space="preserve">efficient </w:t>
      </w:r>
      <w:r w:rsidR="009D18FA">
        <w:t>means of complying with</w:t>
      </w:r>
      <w:r w:rsidRPr="00415D9C">
        <w:t xml:space="preserve"> </w:t>
      </w:r>
      <w:r w:rsidR="00C919FB">
        <w:t>mandatory financial security</w:t>
      </w:r>
      <w:r w:rsidR="00D20764">
        <w:t xml:space="preserve"> requirements</w:t>
      </w:r>
      <w:r w:rsidRPr="00415D9C">
        <w:t xml:space="preserve">, </w:t>
      </w:r>
      <w:r w:rsidR="00AD3223">
        <w:t xml:space="preserve">it possesses </w:t>
      </w:r>
      <w:r w:rsidRPr="00A63FCF">
        <w:t xml:space="preserve">certain </w:t>
      </w:r>
      <w:r w:rsidR="001A2B5C">
        <w:t xml:space="preserve">intrinsic </w:t>
      </w:r>
      <w:r w:rsidRPr="00A63FCF">
        <w:t xml:space="preserve">features </w:t>
      </w:r>
      <w:r w:rsidR="00AD3223">
        <w:t>which</w:t>
      </w:r>
      <w:r w:rsidRPr="00A63FCF">
        <w:t xml:space="preserve"> hinder </w:t>
      </w:r>
      <w:r>
        <w:t>its</w:t>
      </w:r>
      <w:r w:rsidRPr="00A63FCF">
        <w:t xml:space="preserve"> remedial capacity. </w:t>
      </w:r>
      <w:r w:rsidR="005D230C" w:rsidRPr="00FB0CF2">
        <w:t>This may expose society to the risk of environmental liabilities being externalised upon the liquidation of a self-insuring operator.</w:t>
      </w:r>
      <w:r w:rsidR="005D230C">
        <w:t xml:space="preserve"> One such feature is that r</w:t>
      </w:r>
      <w:r w:rsidRPr="00A63FCF">
        <w:t xml:space="preserve">egulators do not normally </w:t>
      </w:r>
      <w:r w:rsidR="00D20764">
        <w:t>demand that</w:t>
      </w:r>
      <w:r w:rsidRPr="00A63FCF">
        <w:t xml:space="preserve"> </w:t>
      </w:r>
      <w:r w:rsidR="00E07A11">
        <w:t>self-insuring</w:t>
      </w:r>
      <w:r w:rsidR="00E07A11" w:rsidRPr="00E07A11">
        <w:t xml:space="preserve"> </w:t>
      </w:r>
      <w:r w:rsidR="00B5555E">
        <w:t>operator</w:t>
      </w:r>
      <w:r w:rsidR="000C458E">
        <w:t>s</w:t>
      </w:r>
      <w:r w:rsidR="00B5555E">
        <w:t xml:space="preserve"> set aside </w:t>
      </w:r>
      <w:r w:rsidRPr="00A63FCF">
        <w:t xml:space="preserve">specific assets or funds </w:t>
      </w:r>
      <w:r w:rsidR="00B5555E">
        <w:t xml:space="preserve">to cover </w:t>
      </w:r>
      <w:r w:rsidR="000C458E">
        <w:t xml:space="preserve">their </w:t>
      </w:r>
      <w:r w:rsidR="00B5555E">
        <w:t>environmental liabilities</w:t>
      </w:r>
      <w:r w:rsidRPr="00A63FCF">
        <w:t xml:space="preserve">. </w:t>
      </w:r>
      <w:r w:rsidR="00E1649F">
        <w:t>T</w:t>
      </w:r>
      <w:r w:rsidR="00E1649F" w:rsidRPr="00A63FCF">
        <w:t xml:space="preserve">his </w:t>
      </w:r>
      <w:r w:rsidR="00E1649F">
        <w:t xml:space="preserve">means that </w:t>
      </w:r>
      <w:r w:rsidR="00D567B1" w:rsidRPr="00D567B1">
        <w:t xml:space="preserve">if a </w:t>
      </w:r>
      <w:r w:rsidR="00915BBD" w:rsidRPr="00915BBD">
        <w:t>self-insur</w:t>
      </w:r>
      <w:r w:rsidR="00F5495E">
        <w:t xml:space="preserve">ing </w:t>
      </w:r>
      <w:r w:rsidR="00D567B1" w:rsidRPr="00D567B1">
        <w:t>operator and/or its parent enter into liquidation then the protection afforded to their creditors under insolvency law may result in an environmental regulator recovering little or, indeed, nothing in respect of the costs associated with any requisite preventive, remedial or restorative works</w:t>
      </w:r>
      <w:r w:rsidR="00E1649F" w:rsidRPr="00A63FCF">
        <w:t>.</w:t>
      </w:r>
      <w:r w:rsidR="00E1649F">
        <w:t xml:space="preserve"> </w:t>
      </w:r>
      <w:r w:rsidR="000C458E">
        <w:t>The</w:t>
      </w:r>
      <w:r w:rsidR="008C1C66">
        <w:t xml:space="preserve"> </w:t>
      </w:r>
      <w:r w:rsidR="00B5555E">
        <w:t xml:space="preserve">protection </w:t>
      </w:r>
      <w:r w:rsidR="00270B01">
        <w:t xml:space="preserve">not only </w:t>
      </w:r>
      <w:r w:rsidR="0002058A">
        <w:t xml:space="preserve">relates </w:t>
      </w:r>
      <w:r w:rsidR="008C1C66">
        <w:t xml:space="preserve">to the priority </w:t>
      </w:r>
      <w:r w:rsidR="0002058A">
        <w:t>accorded to</w:t>
      </w:r>
      <w:r w:rsidR="00356749">
        <w:t xml:space="preserve"> the operator’s</w:t>
      </w:r>
      <w:r w:rsidR="0002058A">
        <w:t xml:space="preserve"> secured creditors </w:t>
      </w:r>
      <w:r w:rsidR="008C1C66">
        <w:t xml:space="preserve">but </w:t>
      </w:r>
      <w:r w:rsidR="00B5555E">
        <w:t>concerns</w:t>
      </w:r>
      <w:r w:rsidR="008C1C66">
        <w:t xml:space="preserve"> particular powers conferred </w:t>
      </w:r>
      <w:r w:rsidR="00B5555E">
        <w:t>upon</w:t>
      </w:r>
      <w:r w:rsidR="008C1C66">
        <w:t xml:space="preserve"> liquidator</w:t>
      </w:r>
      <w:r w:rsidR="00B5555E">
        <w:t>s</w:t>
      </w:r>
      <w:r w:rsidR="008C1C66">
        <w:t xml:space="preserve"> under the Insolvency Act 1986</w:t>
      </w:r>
      <w:r w:rsidR="00015087">
        <w:t xml:space="preserve"> (IA 1986)</w:t>
      </w:r>
      <w:r w:rsidR="000C458E">
        <w:t>,</w:t>
      </w:r>
      <w:r w:rsidR="008C1C66">
        <w:t xml:space="preserve"> s</w:t>
      </w:r>
      <w:r w:rsidR="009D18FA">
        <w:t xml:space="preserve">uch as the ability to disclaim </w:t>
      </w:r>
      <w:r w:rsidR="002F7083">
        <w:t>‘</w:t>
      </w:r>
      <w:r w:rsidR="008C1C66">
        <w:t>onerous property</w:t>
      </w:r>
      <w:r w:rsidR="002F7083">
        <w:t>’</w:t>
      </w:r>
      <w:r w:rsidR="008C1C66">
        <w:t xml:space="preserve"> and the capacity to challenge certain payments made, or security given as a </w:t>
      </w:r>
      <w:r w:rsidR="00E73BF4">
        <w:t xml:space="preserve">voidable </w:t>
      </w:r>
      <w:r w:rsidR="00BF7020">
        <w:t>‘</w:t>
      </w:r>
      <w:r w:rsidR="008C1C66">
        <w:t>preference</w:t>
      </w:r>
      <w:r w:rsidR="00BF7020">
        <w:t>’</w:t>
      </w:r>
      <w:r w:rsidR="008C1C66">
        <w:t>.</w:t>
      </w:r>
      <w:r w:rsidR="008C1C66" w:rsidRPr="00415D9C">
        <w:t xml:space="preserve"> </w:t>
      </w:r>
    </w:p>
    <w:p w:rsidR="005E1BCB" w:rsidRPr="005E1BCB" w:rsidRDefault="00AE4A0E" w:rsidP="005E1BCB">
      <w:pPr>
        <w:pStyle w:val="PhDParagraph"/>
      </w:pPr>
      <w:r w:rsidRPr="004E7EA3">
        <w:rPr>
          <w:rFonts w:cs="Arial"/>
          <w:bCs/>
        </w:rPr>
        <w:t xml:space="preserve">The scope of this </w:t>
      </w:r>
      <w:r w:rsidR="000A3190" w:rsidRPr="004E7EA3">
        <w:rPr>
          <w:rFonts w:cs="Arial"/>
          <w:bCs/>
        </w:rPr>
        <w:t>article</w:t>
      </w:r>
      <w:r w:rsidR="005E1BCB" w:rsidRPr="004E7EA3">
        <w:rPr>
          <w:rFonts w:cs="Arial"/>
          <w:bCs/>
        </w:rPr>
        <w:t xml:space="preserve"> is limited</w:t>
      </w:r>
      <w:r w:rsidRPr="004E7EA3">
        <w:rPr>
          <w:rFonts w:cs="Arial"/>
          <w:bCs/>
        </w:rPr>
        <w:t xml:space="preserve"> in two ways. Firstly,</w:t>
      </w:r>
      <w:r w:rsidR="005E1BCB" w:rsidRPr="004E7EA3">
        <w:rPr>
          <w:rFonts w:cs="Arial"/>
          <w:bCs/>
        </w:rPr>
        <w:t xml:space="preserve"> </w:t>
      </w:r>
      <w:r w:rsidRPr="004E7EA3">
        <w:rPr>
          <w:rFonts w:cs="Arial"/>
          <w:bCs/>
        </w:rPr>
        <w:t xml:space="preserve">only </w:t>
      </w:r>
      <w:r w:rsidR="005E1BCB" w:rsidRPr="004E7EA3">
        <w:rPr>
          <w:rFonts w:cs="Arial"/>
          <w:bCs/>
        </w:rPr>
        <w:t>issues raised by the law of insolvency in England and Wales</w:t>
      </w:r>
      <w:r w:rsidRPr="004E7EA3">
        <w:rPr>
          <w:rFonts w:cs="Arial"/>
          <w:bCs/>
        </w:rPr>
        <w:t xml:space="preserve"> will be considered</w:t>
      </w:r>
      <w:r w:rsidR="005E1BCB" w:rsidRPr="004E7EA3">
        <w:rPr>
          <w:rFonts w:cs="Arial"/>
          <w:bCs/>
        </w:rPr>
        <w:t xml:space="preserve">. </w:t>
      </w:r>
      <w:r w:rsidRPr="004E7EA3">
        <w:rPr>
          <w:rFonts w:cs="Arial"/>
          <w:bCs/>
        </w:rPr>
        <w:t>This regime</w:t>
      </w:r>
      <w:r w:rsidR="005E1BCB" w:rsidRPr="004E7EA3">
        <w:rPr>
          <w:rFonts w:cs="Arial"/>
          <w:bCs/>
        </w:rPr>
        <w:t xml:space="preserve"> exhibits </w:t>
      </w:r>
      <w:r w:rsidRPr="004E7EA3">
        <w:rPr>
          <w:rFonts w:cs="Arial"/>
          <w:bCs/>
        </w:rPr>
        <w:t xml:space="preserve">important </w:t>
      </w:r>
      <w:r w:rsidR="005E1BCB" w:rsidRPr="004E7EA3">
        <w:rPr>
          <w:rFonts w:cs="Arial"/>
          <w:bCs/>
        </w:rPr>
        <w:t xml:space="preserve">nuances when compared, for example, to the law of insolvency in Scotland, particularly regarding the </w:t>
      </w:r>
      <w:r w:rsidR="000C458E">
        <w:rPr>
          <w:rFonts w:cs="Arial"/>
          <w:bCs/>
        </w:rPr>
        <w:t>existence</w:t>
      </w:r>
      <w:r w:rsidR="005E1BCB" w:rsidRPr="004E7EA3">
        <w:rPr>
          <w:rFonts w:cs="Arial"/>
          <w:bCs/>
        </w:rPr>
        <w:t xml:space="preserve"> of </w:t>
      </w:r>
      <w:r w:rsidR="000C458E">
        <w:rPr>
          <w:rFonts w:cs="Arial"/>
          <w:bCs/>
        </w:rPr>
        <w:t>the power of</w:t>
      </w:r>
      <w:r w:rsidR="005E1BCB" w:rsidRPr="004E7EA3">
        <w:rPr>
          <w:rFonts w:cs="Arial"/>
          <w:bCs/>
        </w:rPr>
        <w:t xml:space="preserve"> disclaimer under s</w:t>
      </w:r>
      <w:r w:rsidR="000434DC">
        <w:rPr>
          <w:rFonts w:cs="Arial"/>
          <w:bCs/>
        </w:rPr>
        <w:t>ection</w:t>
      </w:r>
      <w:r w:rsidR="005E1BCB" w:rsidRPr="004E7EA3">
        <w:rPr>
          <w:rFonts w:cs="Arial"/>
          <w:bCs/>
        </w:rPr>
        <w:t xml:space="preserve"> 178 IA 1986. This power </w:t>
      </w:r>
      <w:r w:rsidRPr="004E7EA3">
        <w:rPr>
          <w:rFonts w:cs="Arial"/>
          <w:bCs/>
        </w:rPr>
        <w:t xml:space="preserve">impacts significantly upon </w:t>
      </w:r>
      <w:r w:rsidR="00915BBD" w:rsidRPr="00915BBD">
        <w:rPr>
          <w:rFonts w:cs="Arial"/>
          <w:bCs/>
        </w:rPr>
        <w:t>self-insurance</w:t>
      </w:r>
      <w:r w:rsidR="004E7EA3" w:rsidRPr="004E7EA3">
        <w:rPr>
          <w:rFonts w:cs="Arial"/>
          <w:bCs/>
        </w:rPr>
        <w:t>’</w:t>
      </w:r>
      <w:r w:rsidR="005E1BCB" w:rsidRPr="004E7EA3">
        <w:rPr>
          <w:rFonts w:cs="Arial"/>
          <w:bCs/>
        </w:rPr>
        <w:t>s remedial capacity</w:t>
      </w:r>
      <w:r w:rsidR="00032046" w:rsidRPr="004E7EA3">
        <w:rPr>
          <w:rFonts w:cs="Arial"/>
          <w:bCs/>
        </w:rPr>
        <w:t xml:space="preserve"> </w:t>
      </w:r>
      <w:r w:rsidR="004E7EA3" w:rsidRPr="004E7EA3">
        <w:rPr>
          <w:rFonts w:cs="Arial"/>
          <w:bCs/>
        </w:rPr>
        <w:t>and</w:t>
      </w:r>
      <w:r w:rsidR="00032046" w:rsidRPr="004E7EA3">
        <w:rPr>
          <w:rFonts w:cs="Arial"/>
          <w:bCs/>
        </w:rPr>
        <w:t xml:space="preserve"> is only available to </w:t>
      </w:r>
      <w:r w:rsidR="005E1BCB" w:rsidRPr="004E7EA3">
        <w:rPr>
          <w:rFonts w:cs="Arial"/>
          <w:bCs/>
        </w:rPr>
        <w:t xml:space="preserve">liquidators of companies </w:t>
      </w:r>
      <w:r w:rsidR="00032046" w:rsidRPr="004E7EA3">
        <w:rPr>
          <w:rFonts w:cs="Arial"/>
          <w:bCs/>
        </w:rPr>
        <w:t>being wound-up in</w:t>
      </w:r>
      <w:r w:rsidR="005E1BCB" w:rsidRPr="004E7EA3">
        <w:rPr>
          <w:rFonts w:cs="Arial"/>
          <w:bCs/>
        </w:rPr>
        <w:t xml:space="preserve"> </w:t>
      </w:r>
      <w:r w:rsidR="00032046" w:rsidRPr="004E7EA3">
        <w:rPr>
          <w:rFonts w:cs="Arial"/>
          <w:bCs/>
        </w:rPr>
        <w:t>England and Wales</w:t>
      </w:r>
      <w:r w:rsidR="005E1BCB" w:rsidRPr="004E7EA3">
        <w:rPr>
          <w:rFonts w:cs="Arial"/>
          <w:bCs/>
        </w:rPr>
        <w:t>.</w:t>
      </w:r>
      <w:r w:rsidR="00032046" w:rsidRPr="004E7EA3">
        <w:rPr>
          <w:vertAlign w:val="superscript"/>
        </w:rPr>
        <w:footnoteReference w:id="16"/>
      </w:r>
      <w:r w:rsidR="005E1BCB" w:rsidRPr="004E7EA3">
        <w:rPr>
          <w:rFonts w:cs="Arial"/>
          <w:bCs/>
        </w:rPr>
        <w:t xml:space="preserve"> </w:t>
      </w:r>
      <w:r w:rsidRPr="004E7EA3">
        <w:rPr>
          <w:rFonts w:cs="Arial"/>
          <w:bCs/>
        </w:rPr>
        <w:t>Secondly, analysis will be limited to</w:t>
      </w:r>
      <w:r w:rsidR="005E1BCB" w:rsidRPr="004E7EA3">
        <w:rPr>
          <w:rFonts w:cs="Arial"/>
          <w:bCs/>
        </w:rPr>
        <w:t xml:space="preserve"> the </w:t>
      </w:r>
      <w:r w:rsidR="005E1BCB" w:rsidRPr="004E7EA3">
        <w:rPr>
          <w:rFonts w:cs="Arial"/>
          <w:bCs/>
        </w:rPr>
        <w:lastRenderedPageBreak/>
        <w:t>issues raised by liquidation</w:t>
      </w:r>
      <w:r w:rsidR="000C458E">
        <w:rPr>
          <w:rFonts w:cs="Arial"/>
          <w:bCs/>
        </w:rPr>
        <w:t>. T</w:t>
      </w:r>
      <w:r w:rsidR="00CB5585">
        <w:rPr>
          <w:rFonts w:cs="Arial"/>
          <w:bCs/>
        </w:rPr>
        <w:t>his process</w:t>
      </w:r>
      <w:r w:rsidR="00BF7CB5">
        <w:rPr>
          <w:rFonts w:cs="Arial"/>
          <w:bCs/>
        </w:rPr>
        <w:t>, arguably,</w:t>
      </w:r>
      <w:r w:rsidR="00CB5585">
        <w:rPr>
          <w:rFonts w:cs="Arial"/>
          <w:bCs/>
        </w:rPr>
        <w:t xml:space="preserve"> raises the greatest </w:t>
      </w:r>
      <w:r w:rsidR="00BF7CB5">
        <w:rPr>
          <w:rFonts w:cs="Arial"/>
          <w:bCs/>
        </w:rPr>
        <w:t>potential</w:t>
      </w:r>
      <w:r w:rsidR="00CB5585">
        <w:rPr>
          <w:rFonts w:cs="Arial"/>
          <w:bCs/>
        </w:rPr>
        <w:t xml:space="preserve"> for cost externalisation</w:t>
      </w:r>
      <w:r w:rsidR="005E1BCB" w:rsidRPr="004E7EA3">
        <w:rPr>
          <w:rFonts w:cs="Arial"/>
          <w:bCs/>
        </w:rPr>
        <w:t xml:space="preserve">. </w:t>
      </w:r>
      <w:r w:rsidR="00032046" w:rsidRPr="004E7EA3">
        <w:rPr>
          <w:rFonts w:cs="Arial"/>
          <w:bCs/>
        </w:rPr>
        <w:t>Insolvency</w:t>
      </w:r>
      <w:r w:rsidR="005E1BCB" w:rsidRPr="004E7EA3">
        <w:rPr>
          <w:rFonts w:cs="Arial"/>
          <w:bCs/>
        </w:rPr>
        <w:t xml:space="preserve"> </w:t>
      </w:r>
      <w:r w:rsidRPr="004E7EA3">
        <w:rPr>
          <w:rFonts w:cs="Arial"/>
          <w:bCs/>
        </w:rPr>
        <w:t>proceedings, such as administration, also raise</w:t>
      </w:r>
      <w:r w:rsidR="005E1BCB" w:rsidRPr="004E7EA3">
        <w:rPr>
          <w:rFonts w:cs="Arial"/>
          <w:bCs/>
        </w:rPr>
        <w:t xml:space="preserve"> important issues </w:t>
      </w:r>
      <w:r w:rsidR="00032046" w:rsidRPr="004E7EA3">
        <w:rPr>
          <w:rFonts w:cs="Arial"/>
          <w:bCs/>
        </w:rPr>
        <w:t xml:space="preserve">in respect of </w:t>
      </w:r>
      <w:r w:rsidR="005E1BCB" w:rsidRPr="004E7EA3">
        <w:rPr>
          <w:rFonts w:cs="Arial"/>
          <w:bCs/>
        </w:rPr>
        <w:t>environmental costs</w:t>
      </w:r>
      <w:r w:rsidR="00BF7CB5">
        <w:rPr>
          <w:rFonts w:cs="Arial"/>
          <w:bCs/>
        </w:rPr>
        <w:t xml:space="preserve"> but these are beyond the scope of this article</w:t>
      </w:r>
      <w:r w:rsidRPr="004E7EA3">
        <w:rPr>
          <w:rFonts w:cs="Arial"/>
          <w:bCs/>
        </w:rPr>
        <w:t>.</w:t>
      </w:r>
    </w:p>
    <w:p w:rsidR="002E25E8" w:rsidRDefault="000A4ED9" w:rsidP="00BF6677">
      <w:pPr>
        <w:pStyle w:val="PhDParagraph"/>
      </w:pPr>
      <w:r w:rsidRPr="00415D9C">
        <w:tab/>
      </w:r>
      <w:r w:rsidR="001E03A8" w:rsidRPr="00BF6677">
        <w:t>Th</w:t>
      </w:r>
      <w:r w:rsidR="00BF7020">
        <w:t>e</w:t>
      </w:r>
      <w:r w:rsidR="001E03A8" w:rsidRPr="00BF6677">
        <w:t xml:space="preserve"> </w:t>
      </w:r>
      <w:r w:rsidR="000A3190" w:rsidRPr="00BF6677">
        <w:t>article</w:t>
      </w:r>
      <w:r w:rsidR="001E03A8" w:rsidRPr="00BF6677">
        <w:t xml:space="preserve"> is structured as follows. Section </w:t>
      </w:r>
      <w:r w:rsidR="004C7020" w:rsidRPr="00BF6677">
        <w:t>B</w:t>
      </w:r>
      <w:r w:rsidR="001E03A8" w:rsidRPr="00BF6677">
        <w:t xml:space="preserve"> examines </w:t>
      </w:r>
      <w:r w:rsidR="00EE3C73">
        <w:t>key</w:t>
      </w:r>
      <w:r w:rsidR="004E5B90" w:rsidRPr="00BF6677">
        <w:t xml:space="preserve"> </w:t>
      </w:r>
      <w:r w:rsidR="008D642B" w:rsidRPr="00BF6677">
        <w:t>financial security</w:t>
      </w:r>
      <w:r w:rsidR="008D642B" w:rsidRPr="008D642B">
        <w:t xml:space="preserve"> provisions in</w:t>
      </w:r>
      <w:r w:rsidR="00E86C80">
        <w:t xml:space="preserve"> </w:t>
      </w:r>
      <w:r w:rsidR="002F7083" w:rsidRPr="008D642B">
        <w:t>UK</w:t>
      </w:r>
      <w:r w:rsidR="002F7083">
        <w:t xml:space="preserve"> </w:t>
      </w:r>
      <w:r w:rsidR="008D642B" w:rsidRPr="008D642B">
        <w:t xml:space="preserve">environmental law </w:t>
      </w:r>
      <w:r w:rsidR="00E86C80">
        <w:t xml:space="preserve">and considers their acceptance of </w:t>
      </w:r>
      <w:r w:rsidR="00915BBD" w:rsidRPr="00915BBD">
        <w:t>self-insurance</w:t>
      </w:r>
      <w:r w:rsidR="00E86C80">
        <w:t xml:space="preserve"> as a means of evidencing financial security</w:t>
      </w:r>
      <w:r w:rsidR="001E03A8" w:rsidRPr="001E03A8">
        <w:t xml:space="preserve">. Section </w:t>
      </w:r>
      <w:r w:rsidR="004C7020">
        <w:t>C</w:t>
      </w:r>
      <w:r w:rsidR="001E03A8" w:rsidRPr="001E03A8">
        <w:t xml:space="preserve"> examines the remedial capacity of </w:t>
      </w:r>
      <w:r w:rsidR="00915BBD" w:rsidRPr="00915BBD">
        <w:t>self-insurance</w:t>
      </w:r>
      <w:r w:rsidR="001E03A8" w:rsidRPr="001E03A8">
        <w:t xml:space="preserve"> in light of insolvency law in England and Wales. A scenario-based approach is utilised to assess the </w:t>
      </w:r>
      <w:r w:rsidR="00BF6677">
        <w:t>impact</w:t>
      </w:r>
      <w:r w:rsidR="001E03A8" w:rsidRPr="001E03A8">
        <w:t xml:space="preserve"> of insolvency law </w:t>
      </w:r>
      <w:r w:rsidR="00BF6677">
        <w:t>up</w:t>
      </w:r>
      <w:r w:rsidR="001E03A8" w:rsidRPr="001E03A8">
        <w:t xml:space="preserve">on this capacity. Section </w:t>
      </w:r>
      <w:r w:rsidR="004C7020">
        <w:t>D</w:t>
      </w:r>
      <w:r w:rsidR="001E03A8" w:rsidRPr="001E03A8">
        <w:t xml:space="preserve"> draws conclusions and offers recommendations</w:t>
      </w:r>
      <w:r w:rsidR="005E1BCB">
        <w:t xml:space="preserve"> to</w:t>
      </w:r>
      <w:r w:rsidR="005E1BCB" w:rsidRPr="005E1BCB">
        <w:t xml:space="preserve"> strengthen </w:t>
      </w:r>
      <w:r w:rsidR="00AE4A0E">
        <w:t>the</w:t>
      </w:r>
      <w:r w:rsidR="005E1BCB" w:rsidRPr="005E1BCB">
        <w:t xml:space="preserve"> usage</w:t>
      </w:r>
      <w:r w:rsidR="00AE4A0E">
        <w:t xml:space="preserve"> of </w:t>
      </w:r>
      <w:r w:rsidR="00915BBD" w:rsidRPr="00915BBD">
        <w:t>self-insurance</w:t>
      </w:r>
      <w:r w:rsidR="005E1BCB" w:rsidRPr="005E1BCB">
        <w:t xml:space="preserve"> within existing and future mandatory financial security requirements</w:t>
      </w:r>
      <w:r w:rsidR="002F7083">
        <w:t>.</w:t>
      </w:r>
    </w:p>
    <w:p w:rsidR="00BF6677" w:rsidRPr="00BF6677" w:rsidRDefault="00BF6677" w:rsidP="00BF6677">
      <w:pPr>
        <w:pStyle w:val="PhDParagraph"/>
      </w:pPr>
    </w:p>
    <w:p w:rsidR="007453FA" w:rsidRPr="007453FA" w:rsidRDefault="00C9715D" w:rsidP="00C9715D">
      <w:pPr>
        <w:pStyle w:val="Heading1"/>
        <w:numPr>
          <w:ilvl w:val="0"/>
          <w:numId w:val="0"/>
        </w:numPr>
        <w:ind w:left="709" w:hanging="709"/>
      </w:pPr>
      <w:r>
        <w:t xml:space="preserve">B.  </w:t>
      </w:r>
      <w:r w:rsidRPr="007453FA">
        <w:t xml:space="preserve">FINANCIAL </w:t>
      </w:r>
      <w:r>
        <w:t>SECURITY REQUIREMENTS IN UK ENVIRONMENTAL L</w:t>
      </w:r>
      <w:r w:rsidRPr="007453FA">
        <w:t xml:space="preserve">AW </w:t>
      </w:r>
    </w:p>
    <w:p w:rsidR="007453FA" w:rsidRDefault="007453FA" w:rsidP="007165EB">
      <w:pPr>
        <w:pStyle w:val="PhDParagraph"/>
      </w:pPr>
      <w:bookmarkStart w:id="1" w:name="_Toc356737746"/>
    </w:p>
    <w:p w:rsidR="00EE3C73" w:rsidRDefault="004C79BA" w:rsidP="00024A5B">
      <w:pPr>
        <w:pStyle w:val="PhDParagraph"/>
        <w:ind w:firstLine="0"/>
      </w:pPr>
      <w:r>
        <w:t>This section sketch</w:t>
      </w:r>
      <w:r w:rsidR="001A1F38">
        <w:t>es</w:t>
      </w:r>
      <w:r>
        <w:t xml:space="preserve"> the requirements of some </w:t>
      </w:r>
      <w:r w:rsidR="001A1F38">
        <w:t>of the main</w:t>
      </w:r>
      <w:r>
        <w:t xml:space="preserve"> financial security provisions in </w:t>
      </w:r>
      <w:r w:rsidR="002B5E71">
        <w:t xml:space="preserve">UK </w:t>
      </w:r>
      <w:r>
        <w:t>environmental law</w:t>
      </w:r>
      <w:r w:rsidR="002B5E71">
        <w:t>.</w:t>
      </w:r>
      <w:r w:rsidR="007F5FE6" w:rsidRPr="00C763D8">
        <w:rPr>
          <w:vertAlign w:val="superscript"/>
        </w:rPr>
        <w:footnoteReference w:id="17"/>
      </w:r>
      <w:r w:rsidR="007F5FE6">
        <w:t xml:space="preserve"> </w:t>
      </w:r>
      <w:r w:rsidR="002B5E71">
        <w:t>It focuses</w:t>
      </w:r>
      <w:r w:rsidR="001A1F38">
        <w:t xml:space="preserve"> on</w:t>
      </w:r>
      <w:r>
        <w:t xml:space="preserve"> legislative requirements that expressly permit or prohibit </w:t>
      </w:r>
      <w:r w:rsidR="00A77A11">
        <w:t>forms</w:t>
      </w:r>
      <w:r>
        <w:t xml:space="preserve"> of </w:t>
      </w:r>
      <w:r w:rsidR="00915BBD" w:rsidRPr="00915BBD">
        <w:t>self-insurance</w:t>
      </w:r>
      <w:r>
        <w:t xml:space="preserve"> </w:t>
      </w:r>
      <w:r w:rsidR="00A77A11">
        <w:t>and</w:t>
      </w:r>
      <w:r>
        <w:t xml:space="preserve"> </w:t>
      </w:r>
      <w:r w:rsidR="00A77A11">
        <w:t>those which exhibit a</w:t>
      </w:r>
      <w:r>
        <w:t xml:space="preserve"> lack of clari</w:t>
      </w:r>
      <w:r w:rsidR="00A77A11">
        <w:t>t</w:t>
      </w:r>
      <w:r>
        <w:t xml:space="preserve">y over </w:t>
      </w:r>
      <w:r w:rsidR="00A77A11">
        <w:t>their permissibility</w:t>
      </w:r>
      <w:r>
        <w:t>.</w:t>
      </w:r>
      <w:r w:rsidR="006F2940">
        <w:t xml:space="preserve"> </w:t>
      </w:r>
      <w:r w:rsidR="00081862">
        <w:t xml:space="preserve">A table summarising </w:t>
      </w:r>
      <w:r w:rsidR="00072035">
        <w:t>these f</w:t>
      </w:r>
      <w:r w:rsidR="004151B6">
        <w:t>indings</w:t>
      </w:r>
      <w:r w:rsidR="00081862">
        <w:t xml:space="preserve"> is set out below</w:t>
      </w:r>
      <w:r w:rsidR="00072035">
        <w:t xml:space="preserve"> (see Table 1)</w:t>
      </w:r>
      <w:r w:rsidR="00081862">
        <w:t>.</w:t>
      </w:r>
    </w:p>
    <w:p w:rsidR="00024A5B" w:rsidRPr="00C763D8" w:rsidRDefault="00024A5B" w:rsidP="00EE3C73">
      <w:pPr>
        <w:pStyle w:val="PhDParagraph"/>
      </w:pPr>
      <w:r>
        <w:t>T</w:t>
      </w:r>
      <w:r w:rsidRPr="00C763D8">
        <w:t xml:space="preserve">wo major categories of environmental liabilities </w:t>
      </w:r>
      <w:r>
        <w:t xml:space="preserve">are </w:t>
      </w:r>
      <w:r w:rsidRPr="00C763D8">
        <w:t>covered by financial security requirements. The first is a fortuity in the form of the risk of an accident that causes pollution or ot</w:t>
      </w:r>
      <w:r>
        <w:t>her environmental damage. This may lead</w:t>
      </w:r>
      <w:r w:rsidRPr="00C763D8">
        <w:t xml:space="preserve"> to the necessity for remedial measures, measures to restore damaged natural resources, and/or third-party claims based on tort or such like. Neither the cost of the measures or claims nor the timing of an accident (if one should occur) is known. The second category is decommissioning and closure of facilities including, in some cases, restoring the environment. This type is a certainty in that closure and restoration measures will be required at a </w:t>
      </w:r>
      <w:r>
        <w:t>(</w:t>
      </w:r>
      <w:r w:rsidRPr="00C763D8">
        <w:t>relatively</w:t>
      </w:r>
      <w:r>
        <w:t>)</w:t>
      </w:r>
      <w:r w:rsidRPr="00C763D8">
        <w:t xml:space="preserve"> foreseeable time </w:t>
      </w:r>
      <w:r>
        <w:t xml:space="preserve">in the future </w:t>
      </w:r>
      <w:r w:rsidRPr="00C763D8">
        <w:t xml:space="preserve">but </w:t>
      </w:r>
      <w:r w:rsidRPr="00C763D8">
        <w:lastRenderedPageBreak/>
        <w:t xml:space="preserve">their actual cost, although generally calculated and continually revised during the operational phase, is not precisely known. </w:t>
      </w:r>
      <w:r w:rsidR="00915BBD">
        <w:t>S</w:t>
      </w:r>
      <w:r w:rsidR="00915BBD" w:rsidRPr="00915BBD">
        <w:t>elf-insurance</w:t>
      </w:r>
      <w:r w:rsidRPr="00C763D8">
        <w:t xml:space="preserve"> is </w:t>
      </w:r>
      <w:r>
        <w:t xml:space="preserve">often </w:t>
      </w:r>
      <w:r w:rsidRPr="00C763D8">
        <w:t>used for both categories as are third-party measures with the exception of insurance, which has a limited use for the latter due to the lack of fortuity in carrying out the measures.</w:t>
      </w:r>
    </w:p>
    <w:p w:rsidR="00B4691C" w:rsidRDefault="00024A5B" w:rsidP="00B4691C">
      <w:pPr>
        <w:pStyle w:val="PhDParagraph"/>
      </w:pPr>
      <w:r w:rsidRPr="00C763D8">
        <w:t>Until recently, there were relatively few mandatory financial security requirements in environmental</w:t>
      </w:r>
      <w:r>
        <w:t>-related</w:t>
      </w:r>
      <w:r w:rsidRPr="00C763D8">
        <w:t xml:space="preserve"> legislation in the UK</w:t>
      </w:r>
      <w:r>
        <w:t>. This was</w:t>
      </w:r>
      <w:r w:rsidRPr="00C763D8">
        <w:t xml:space="preserve"> due</w:t>
      </w:r>
      <w:r>
        <w:t>,</w:t>
      </w:r>
      <w:r w:rsidRPr="00C763D8">
        <w:t xml:space="preserve"> in part</w:t>
      </w:r>
      <w:r>
        <w:t>,</w:t>
      </w:r>
      <w:r w:rsidRPr="00C763D8">
        <w:t xml:space="preserve"> to the </w:t>
      </w:r>
      <w:r w:rsidR="006F7F93">
        <w:t>Government’s long-held belief</w:t>
      </w:r>
      <w:r>
        <w:t xml:space="preserve"> ‘</w:t>
      </w:r>
      <w:r w:rsidRPr="00C763D8">
        <w:t>...that businesses are best placed to take decisions about all aspects of their operations, including the optimum means</w:t>
      </w:r>
      <w:r>
        <w:t xml:space="preserve"> of covering liabilities.’</w:t>
      </w:r>
      <w:r w:rsidRPr="00C763D8">
        <w:rPr>
          <w:vertAlign w:val="superscript"/>
        </w:rPr>
        <w:footnoteReference w:id="18"/>
      </w:r>
      <w:r w:rsidRPr="00C763D8">
        <w:t xml:space="preserve"> </w:t>
      </w:r>
      <w:r w:rsidR="00772DD6">
        <w:t xml:space="preserve">This position ignored the inherent economic disincentive </w:t>
      </w:r>
      <w:r w:rsidR="007B4943">
        <w:t>faced by</w:t>
      </w:r>
      <w:r w:rsidR="00772DD6">
        <w:t xml:space="preserve"> operators to purchase</w:t>
      </w:r>
      <w:r w:rsidR="007B4943">
        <w:t xml:space="preserve"> </w:t>
      </w:r>
      <w:r w:rsidR="00772DD6">
        <w:t xml:space="preserve">financial security </w:t>
      </w:r>
      <w:r w:rsidR="006A565D">
        <w:t>instrument</w:t>
      </w:r>
      <w:r w:rsidR="00772DD6">
        <w:t xml:space="preserve">s from third-parties voluntarily. </w:t>
      </w:r>
      <w:r w:rsidRPr="00C763D8">
        <w:t xml:space="preserve">Mandatory financial security </w:t>
      </w:r>
      <w:r>
        <w:t xml:space="preserve">requirements </w:t>
      </w:r>
      <w:r w:rsidRPr="00C763D8">
        <w:t xml:space="preserve">for environmental-related measures </w:t>
      </w:r>
      <w:r>
        <w:t>are</w:t>
      </w:r>
      <w:r w:rsidRPr="00C763D8">
        <w:t xml:space="preserve">, however, increasing nationally as well as internationally. The most common financial security provisions in </w:t>
      </w:r>
      <w:r w:rsidR="007C0350" w:rsidRPr="00C763D8">
        <w:t xml:space="preserve">UK </w:t>
      </w:r>
      <w:r w:rsidRPr="00C763D8">
        <w:t xml:space="preserve">legislation require an operator to have evidence of funds to carry out obligations such as closure, restoration and aftercare towards the end of a permitted period. Such provisions </w:t>
      </w:r>
      <w:r>
        <w:t xml:space="preserve">may </w:t>
      </w:r>
      <w:r w:rsidRPr="00C763D8">
        <w:t>supplement the requirement under the Environmental Permitting (England a</w:t>
      </w:r>
      <w:r>
        <w:t>nd Wales) Regulations 2010 (</w:t>
      </w:r>
      <w:r w:rsidRPr="00C763D8">
        <w:t>EPR)</w:t>
      </w:r>
      <w:r w:rsidRPr="00C763D8">
        <w:rPr>
          <w:vertAlign w:val="superscript"/>
        </w:rPr>
        <w:footnoteReference w:id="19"/>
      </w:r>
      <w:r w:rsidR="00886EF6">
        <w:t xml:space="preserve"> for operators to be</w:t>
      </w:r>
      <w:r>
        <w:t xml:space="preserve"> ‘</w:t>
      </w:r>
      <w:r w:rsidRPr="00C763D8">
        <w:t>...financially capable of complying w</w:t>
      </w:r>
      <w:r>
        <w:t>ith the environmental permit...’</w:t>
      </w:r>
      <w:r w:rsidRPr="00C763D8">
        <w:rPr>
          <w:vertAlign w:val="superscript"/>
        </w:rPr>
        <w:footnoteReference w:id="20"/>
      </w:r>
      <w:r w:rsidRPr="00C763D8">
        <w:t xml:space="preserve"> in respect of operations subject to the Landfill, Mining Waste,</w:t>
      </w:r>
      <w:r w:rsidRPr="00C763D8">
        <w:rPr>
          <w:vertAlign w:val="superscript"/>
        </w:rPr>
        <w:footnoteReference w:id="21"/>
      </w:r>
      <w:r w:rsidRPr="00C763D8">
        <w:t xml:space="preserve"> and HASS</w:t>
      </w:r>
      <w:r w:rsidRPr="00C763D8">
        <w:rPr>
          <w:vertAlign w:val="superscript"/>
        </w:rPr>
        <w:footnoteReference w:id="22"/>
      </w:r>
      <w:r w:rsidRPr="00C763D8">
        <w:t xml:space="preserve"> Directives.</w:t>
      </w:r>
      <w:r w:rsidRPr="00BE16BE">
        <w:t xml:space="preserve"> If an operation subject to the EPR is not also subject to these Directives</w:t>
      </w:r>
      <w:r>
        <w:t xml:space="preserve">, </w:t>
      </w:r>
      <w:r w:rsidRPr="00BE16BE">
        <w:t xml:space="preserve">regulators </w:t>
      </w:r>
      <w:r>
        <w:t>are only to</w:t>
      </w:r>
      <w:r w:rsidRPr="00BE16BE">
        <w:t xml:space="preserve"> </w:t>
      </w:r>
      <w:r>
        <w:t>‘</w:t>
      </w:r>
      <w:r w:rsidR="007C0350">
        <w:t>...</w:t>
      </w:r>
      <w:r w:rsidRPr="00BE16BE">
        <w:t xml:space="preserve">consider financial solvency explicitly </w:t>
      </w:r>
      <w:r w:rsidR="007C0350">
        <w:t>[where]...</w:t>
      </w:r>
      <w:r w:rsidRPr="00BE16BE">
        <w:t>they have</w:t>
      </w:r>
      <w:r>
        <w:t xml:space="preserve"> </w:t>
      </w:r>
      <w:r w:rsidRPr="0046239E">
        <w:t>reason to doubt the finan</w:t>
      </w:r>
      <w:r>
        <w:t>cial viability of the activity.’</w:t>
      </w:r>
      <w:r w:rsidRPr="00C763D8">
        <w:rPr>
          <w:vertAlign w:val="superscript"/>
        </w:rPr>
        <w:footnoteReference w:id="23"/>
      </w:r>
      <w:r>
        <w:t xml:space="preserve"> </w:t>
      </w:r>
      <w:r>
        <w:lastRenderedPageBreak/>
        <w:t xml:space="preserve">As discussed </w:t>
      </w:r>
      <w:r w:rsidR="007C0350">
        <w:t>below</w:t>
      </w:r>
      <w:r>
        <w:t>, an environmental regulator may not possess the</w:t>
      </w:r>
      <w:r w:rsidR="00F465C3">
        <w:t xml:space="preserve"> requisite</w:t>
      </w:r>
      <w:r>
        <w:t xml:space="preserve"> skills to make this decision.</w:t>
      </w:r>
    </w:p>
    <w:p w:rsidR="00B4691C" w:rsidRPr="00B4691C" w:rsidRDefault="00B4691C" w:rsidP="00B4691C">
      <w:pPr>
        <w:pStyle w:val="PhDParagraphnoIdent"/>
        <w:spacing w:line="240" w:lineRule="auto"/>
      </w:pPr>
    </w:p>
    <w:p w:rsidR="00312214" w:rsidRPr="00B4691C" w:rsidRDefault="00312214" w:rsidP="00B4691C">
      <w:pPr>
        <w:rPr>
          <w:rFonts w:ascii="Arial" w:hAnsi="Arial" w:cs="Arial"/>
          <w:sz w:val="18"/>
          <w:szCs w:val="18"/>
        </w:rPr>
      </w:pPr>
      <w:r w:rsidRPr="00312214">
        <w:rPr>
          <w:rFonts w:ascii="Arial" w:hAnsi="Arial" w:cs="Arial"/>
          <w:sz w:val="18"/>
          <w:szCs w:val="18"/>
        </w:rPr>
        <w:t>Table 1. Legislative requirements that expressly permit or prohibit forms of self-insurance and those which exhibit a lack of clarity over their permissibility</w:t>
      </w:r>
    </w:p>
    <w:tbl>
      <w:tblPr>
        <w:tblStyle w:val="TableGrid"/>
        <w:tblW w:w="0" w:type="auto"/>
        <w:tblLook w:val="04A0" w:firstRow="1" w:lastRow="0" w:firstColumn="1" w:lastColumn="0" w:noHBand="0" w:noVBand="1"/>
      </w:tblPr>
      <w:tblGrid>
        <w:gridCol w:w="1951"/>
        <w:gridCol w:w="2268"/>
        <w:gridCol w:w="2552"/>
        <w:gridCol w:w="2471"/>
      </w:tblGrid>
      <w:tr w:rsidR="00312214" w:rsidRPr="00312214" w:rsidTr="009969DE">
        <w:tc>
          <w:tcPr>
            <w:tcW w:w="1951" w:type="dxa"/>
            <w:vMerge w:val="restart"/>
            <w:vAlign w:val="center"/>
          </w:tcPr>
          <w:p w:rsidR="00312214" w:rsidRPr="00312214" w:rsidRDefault="00312214" w:rsidP="00312214">
            <w:pPr>
              <w:jc w:val="center"/>
              <w:rPr>
                <w:rFonts w:ascii="Arial" w:hAnsi="Arial" w:cs="Arial"/>
                <w:b/>
                <w:sz w:val="18"/>
                <w:szCs w:val="18"/>
              </w:rPr>
            </w:pPr>
            <w:r w:rsidRPr="00312214">
              <w:rPr>
                <w:rFonts w:ascii="Arial" w:hAnsi="Arial" w:cs="Arial"/>
                <w:b/>
                <w:sz w:val="18"/>
                <w:szCs w:val="18"/>
              </w:rPr>
              <w:t>Legislation</w:t>
            </w:r>
          </w:p>
        </w:tc>
        <w:tc>
          <w:tcPr>
            <w:tcW w:w="2268" w:type="dxa"/>
            <w:vMerge w:val="restart"/>
            <w:vAlign w:val="center"/>
          </w:tcPr>
          <w:p w:rsidR="00312214" w:rsidRPr="00312214" w:rsidRDefault="00312214" w:rsidP="00312214">
            <w:pPr>
              <w:jc w:val="center"/>
              <w:rPr>
                <w:rFonts w:ascii="Arial" w:hAnsi="Arial" w:cs="Arial"/>
                <w:b/>
                <w:sz w:val="18"/>
                <w:szCs w:val="18"/>
              </w:rPr>
            </w:pPr>
            <w:r w:rsidRPr="00312214">
              <w:rPr>
                <w:rFonts w:ascii="Arial" w:hAnsi="Arial" w:cs="Arial"/>
                <w:b/>
                <w:sz w:val="18"/>
                <w:szCs w:val="18"/>
              </w:rPr>
              <w:t>Type of Environmental Liability</w:t>
            </w:r>
          </w:p>
        </w:tc>
        <w:tc>
          <w:tcPr>
            <w:tcW w:w="5023" w:type="dxa"/>
            <w:gridSpan w:val="2"/>
            <w:vAlign w:val="center"/>
          </w:tcPr>
          <w:p w:rsidR="00312214" w:rsidRPr="00312214" w:rsidRDefault="00312214" w:rsidP="00312214">
            <w:pPr>
              <w:jc w:val="center"/>
              <w:rPr>
                <w:rFonts w:ascii="Arial" w:hAnsi="Arial" w:cs="Arial"/>
                <w:b/>
                <w:sz w:val="18"/>
                <w:szCs w:val="18"/>
              </w:rPr>
            </w:pPr>
          </w:p>
          <w:p w:rsidR="00312214" w:rsidRPr="00312214" w:rsidRDefault="00312214" w:rsidP="00312214">
            <w:pPr>
              <w:jc w:val="center"/>
              <w:rPr>
                <w:rFonts w:ascii="Arial" w:hAnsi="Arial" w:cs="Arial"/>
                <w:b/>
                <w:sz w:val="18"/>
                <w:szCs w:val="18"/>
              </w:rPr>
            </w:pPr>
            <w:r w:rsidRPr="00312214">
              <w:rPr>
                <w:rFonts w:ascii="Arial" w:hAnsi="Arial" w:cs="Arial"/>
                <w:b/>
                <w:sz w:val="18"/>
                <w:szCs w:val="18"/>
              </w:rPr>
              <w:t xml:space="preserve">Form of Self-Insurance </w:t>
            </w:r>
            <w:r w:rsidR="00B4691C" w:rsidRPr="000F29DE">
              <w:rPr>
                <w:rFonts w:ascii="Arial" w:hAnsi="Arial" w:cs="Arial"/>
                <w:b/>
                <w:sz w:val="18"/>
                <w:szCs w:val="18"/>
              </w:rPr>
              <w:t>(Permitted Yes/No)</w:t>
            </w:r>
          </w:p>
          <w:p w:rsidR="00312214" w:rsidRPr="00312214" w:rsidRDefault="00312214" w:rsidP="00312214">
            <w:pPr>
              <w:rPr>
                <w:rFonts w:ascii="Arial" w:hAnsi="Arial" w:cs="Arial"/>
                <w:b/>
                <w:sz w:val="18"/>
                <w:szCs w:val="18"/>
              </w:rPr>
            </w:pPr>
          </w:p>
        </w:tc>
      </w:tr>
      <w:tr w:rsidR="005F2240" w:rsidRPr="00312214" w:rsidTr="00FB647B">
        <w:tc>
          <w:tcPr>
            <w:tcW w:w="1951" w:type="dxa"/>
            <w:vMerge/>
          </w:tcPr>
          <w:p w:rsidR="005F2240" w:rsidRPr="00312214" w:rsidRDefault="005F2240" w:rsidP="00312214">
            <w:pPr>
              <w:jc w:val="center"/>
              <w:rPr>
                <w:rFonts w:ascii="Arial" w:hAnsi="Arial" w:cs="Arial"/>
                <w:b/>
                <w:sz w:val="18"/>
                <w:szCs w:val="18"/>
              </w:rPr>
            </w:pPr>
          </w:p>
        </w:tc>
        <w:tc>
          <w:tcPr>
            <w:tcW w:w="2268" w:type="dxa"/>
            <w:vMerge/>
          </w:tcPr>
          <w:p w:rsidR="005F2240" w:rsidRPr="00312214" w:rsidRDefault="005F2240" w:rsidP="00312214">
            <w:pPr>
              <w:jc w:val="center"/>
              <w:rPr>
                <w:rFonts w:ascii="Arial" w:hAnsi="Arial" w:cs="Arial"/>
                <w:b/>
                <w:sz w:val="18"/>
                <w:szCs w:val="18"/>
              </w:rPr>
            </w:pPr>
          </w:p>
        </w:tc>
        <w:tc>
          <w:tcPr>
            <w:tcW w:w="2552" w:type="dxa"/>
            <w:vAlign w:val="center"/>
          </w:tcPr>
          <w:p w:rsidR="005C14B2" w:rsidRDefault="005C14B2" w:rsidP="00FB647B">
            <w:pPr>
              <w:jc w:val="center"/>
              <w:rPr>
                <w:rFonts w:ascii="Arial" w:hAnsi="Arial" w:cs="Arial"/>
                <w:b/>
                <w:sz w:val="18"/>
                <w:szCs w:val="18"/>
              </w:rPr>
            </w:pPr>
          </w:p>
          <w:p w:rsidR="005F2240" w:rsidRPr="00312214" w:rsidRDefault="005F2240" w:rsidP="00FB647B">
            <w:pPr>
              <w:jc w:val="center"/>
              <w:rPr>
                <w:rFonts w:ascii="Arial" w:hAnsi="Arial" w:cs="Arial"/>
                <w:b/>
                <w:sz w:val="18"/>
                <w:szCs w:val="18"/>
              </w:rPr>
            </w:pPr>
            <w:r w:rsidRPr="00312214">
              <w:rPr>
                <w:rFonts w:ascii="Arial" w:hAnsi="Arial" w:cs="Arial"/>
                <w:b/>
                <w:sz w:val="18"/>
                <w:szCs w:val="18"/>
              </w:rPr>
              <w:t xml:space="preserve">Demonstration of </w:t>
            </w:r>
            <w:r w:rsidR="00FB647B">
              <w:rPr>
                <w:rFonts w:ascii="Arial" w:hAnsi="Arial" w:cs="Arial"/>
                <w:b/>
                <w:sz w:val="18"/>
                <w:szCs w:val="18"/>
              </w:rPr>
              <w:t xml:space="preserve">operator’s </w:t>
            </w:r>
            <w:r w:rsidRPr="00312214">
              <w:rPr>
                <w:rFonts w:ascii="Arial" w:hAnsi="Arial" w:cs="Arial"/>
                <w:b/>
                <w:sz w:val="18"/>
                <w:szCs w:val="18"/>
              </w:rPr>
              <w:t>financial strength (including provision in accounts and overdraft)</w:t>
            </w:r>
          </w:p>
          <w:p w:rsidR="005F2240" w:rsidRPr="00312214" w:rsidRDefault="005F2240" w:rsidP="00FB647B">
            <w:pPr>
              <w:jc w:val="center"/>
              <w:rPr>
                <w:rFonts w:ascii="Arial" w:hAnsi="Arial" w:cs="Arial"/>
                <w:b/>
                <w:sz w:val="18"/>
                <w:szCs w:val="18"/>
              </w:rPr>
            </w:pPr>
          </w:p>
        </w:tc>
        <w:tc>
          <w:tcPr>
            <w:tcW w:w="2471" w:type="dxa"/>
            <w:vAlign w:val="center"/>
          </w:tcPr>
          <w:p w:rsidR="005C14B2" w:rsidRDefault="005C14B2" w:rsidP="00FB647B">
            <w:pPr>
              <w:jc w:val="center"/>
              <w:rPr>
                <w:rFonts w:ascii="Arial" w:hAnsi="Arial" w:cs="Arial"/>
                <w:b/>
                <w:sz w:val="18"/>
                <w:szCs w:val="18"/>
              </w:rPr>
            </w:pPr>
          </w:p>
          <w:p w:rsidR="005F2240" w:rsidRPr="00312214" w:rsidRDefault="005F2240" w:rsidP="00FB647B">
            <w:pPr>
              <w:jc w:val="center"/>
              <w:rPr>
                <w:rFonts w:ascii="Arial" w:hAnsi="Arial" w:cs="Arial"/>
                <w:b/>
                <w:sz w:val="18"/>
                <w:szCs w:val="18"/>
              </w:rPr>
            </w:pPr>
            <w:r w:rsidRPr="00312214">
              <w:rPr>
                <w:rFonts w:ascii="Arial" w:hAnsi="Arial" w:cs="Arial"/>
                <w:b/>
                <w:sz w:val="18"/>
                <w:szCs w:val="18"/>
              </w:rPr>
              <w:t>Parent Company Guarantee</w:t>
            </w:r>
            <w:r w:rsidRPr="000F29DE">
              <w:rPr>
                <w:rFonts w:ascii="Arial" w:hAnsi="Arial" w:cs="Arial"/>
                <w:b/>
                <w:sz w:val="18"/>
                <w:szCs w:val="18"/>
              </w:rPr>
              <w:t xml:space="preserve"> </w:t>
            </w:r>
            <w:r w:rsidR="00DC76CB">
              <w:rPr>
                <w:rFonts w:ascii="Arial" w:hAnsi="Arial" w:cs="Arial"/>
                <w:b/>
                <w:sz w:val="18"/>
                <w:szCs w:val="18"/>
              </w:rPr>
              <w:t>(</w:t>
            </w:r>
            <w:r w:rsidR="00FB647B">
              <w:rPr>
                <w:rFonts w:ascii="Arial" w:hAnsi="Arial" w:cs="Arial"/>
                <w:b/>
                <w:sz w:val="18"/>
                <w:szCs w:val="18"/>
              </w:rPr>
              <w:t xml:space="preserve">comprising </w:t>
            </w:r>
            <w:r w:rsidR="00DC76CB">
              <w:rPr>
                <w:rFonts w:ascii="Arial" w:hAnsi="Arial" w:cs="Arial"/>
                <w:b/>
                <w:sz w:val="18"/>
                <w:szCs w:val="18"/>
              </w:rPr>
              <w:t xml:space="preserve">demonstration of </w:t>
            </w:r>
            <w:r w:rsidR="00FB647B">
              <w:rPr>
                <w:rFonts w:ascii="Arial" w:hAnsi="Arial" w:cs="Arial"/>
                <w:b/>
                <w:sz w:val="18"/>
                <w:szCs w:val="18"/>
              </w:rPr>
              <w:t xml:space="preserve">parent company’s </w:t>
            </w:r>
            <w:r w:rsidR="00DC76CB">
              <w:rPr>
                <w:rFonts w:ascii="Arial" w:hAnsi="Arial" w:cs="Arial"/>
                <w:b/>
                <w:sz w:val="18"/>
                <w:szCs w:val="18"/>
              </w:rPr>
              <w:t>financial strength)</w:t>
            </w:r>
          </w:p>
          <w:p w:rsidR="005F2240" w:rsidRPr="00312214" w:rsidRDefault="005F2240" w:rsidP="00FB647B">
            <w:pPr>
              <w:jc w:val="center"/>
              <w:rPr>
                <w:rFonts w:ascii="Arial" w:hAnsi="Arial" w:cs="Arial"/>
                <w:b/>
                <w:sz w:val="18"/>
                <w:szCs w:val="18"/>
              </w:rPr>
            </w:pPr>
          </w:p>
        </w:tc>
      </w:tr>
      <w:tr w:rsidR="005F2240" w:rsidRPr="00312214" w:rsidTr="009969DE">
        <w:tc>
          <w:tcPr>
            <w:tcW w:w="1951"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Landfill Directive</w:t>
            </w:r>
          </w:p>
        </w:tc>
        <w:tc>
          <w:tcPr>
            <w:tcW w:w="2268" w:type="dxa"/>
            <w:vAlign w:val="center"/>
          </w:tcPr>
          <w:p w:rsidR="005F2240" w:rsidRPr="00312214" w:rsidRDefault="005F2240" w:rsidP="00C67753">
            <w:pPr>
              <w:jc w:val="center"/>
              <w:rPr>
                <w:rFonts w:ascii="Arial" w:hAnsi="Arial" w:cs="Arial"/>
                <w:sz w:val="18"/>
                <w:szCs w:val="18"/>
              </w:rPr>
            </w:pPr>
            <w:r w:rsidRPr="000F29DE">
              <w:rPr>
                <w:rFonts w:ascii="Arial" w:hAnsi="Arial" w:cs="Arial"/>
                <w:sz w:val="18"/>
                <w:szCs w:val="18"/>
              </w:rPr>
              <w:t>O</w:t>
            </w:r>
            <w:r w:rsidRPr="00312214">
              <w:rPr>
                <w:rFonts w:ascii="Arial" w:hAnsi="Arial" w:cs="Arial"/>
                <w:sz w:val="18"/>
                <w:szCs w:val="18"/>
              </w:rPr>
              <w:t>bligations</w:t>
            </w:r>
            <w:r w:rsidRPr="000F29DE">
              <w:rPr>
                <w:rFonts w:ascii="Arial" w:hAnsi="Arial" w:cs="Arial"/>
                <w:sz w:val="18"/>
                <w:szCs w:val="18"/>
              </w:rPr>
              <w:t xml:space="preserve"> arising under the permit, including </w:t>
            </w:r>
            <w:r w:rsidRPr="00312214">
              <w:rPr>
                <w:rFonts w:ascii="Arial" w:hAnsi="Arial" w:cs="Arial"/>
                <w:sz w:val="18"/>
                <w:szCs w:val="18"/>
              </w:rPr>
              <w:t xml:space="preserve">closure </w:t>
            </w:r>
            <w:r>
              <w:rPr>
                <w:rFonts w:ascii="Arial" w:hAnsi="Arial" w:cs="Arial"/>
                <w:sz w:val="18"/>
                <w:szCs w:val="18"/>
              </w:rPr>
              <w:t>and after-care requirements</w:t>
            </w:r>
            <w:r w:rsidRPr="00312214">
              <w:rPr>
                <w:rFonts w:ascii="Arial" w:hAnsi="Arial" w:cs="Arial"/>
                <w:sz w:val="18"/>
                <w:szCs w:val="18"/>
              </w:rPr>
              <w:t xml:space="preserve"> </w:t>
            </w:r>
          </w:p>
        </w:tc>
        <w:tc>
          <w:tcPr>
            <w:tcW w:w="2552" w:type="dxa"/>
            <w:vAlign w:val="center"/>
          </w:tcPr>
          <w:p w:rsidR="005F2240" w:rsidRPr="00312214" w:rsidRDefault="005F2240" w:rsidP="00AF3E8C">
            <w:pPr>
              <w:jc w:val="center"/>
              <w:rPr>
                <w:rFonts w:ascii="Arial" w:hAnsi="Arial" w:cs="Arial"/>
                <w:sz w:val="18"/>
                <w:szCs w:val="18"/>
              </w:rPr>
            </w:pPr>
            <w:r w:rsidRPr="00312214">
              <w:rPr>
                <w:rFonts w:ascii="Arial" w:hAnsi="Arial" w:cs="Arial"/>
                <w:sz w:val="18"/>
                <w:szCs w:val="18"/>
              </w:rPr>
              <w:t xml:space="preserve">Yes, but not on its own </w:t>
            </w:r>
            <w:r w:rsidRPr="000F29DE">
              <w:rPr>
                <w:rFonts w:ascii="Arial" w:hAnsi="Arial" w:cs="Arial"/>
                <w:sz w:val="18"/>
                <w:szCs w:val="18"/>
              </w:rPr>
              <w:t xml:space="preserve">in respect of </w:t>
            </w:r>
            <w:r w:rsidRPr="00312214">
              <w:rPr>
                <w:rFonts w:ascii="Arial" w:hAnsi="Arial" w:cs="Arial"/>
                <w:sz w:val="18"/>
                <w:szCs w:val="18"/>
              </w:rPr>
              <w:t>commercial landfills</w:t>
            </w:r>
          </w:p>
        </w:tc>
        <w:tc>
          <w:tcPr>
            <w:tcW w:w="2471" w:type="dxa"/>
            <w:vAlign w:val="center"/>
          </w:tcPr>
          <w:p w:rsidR="005F2240" w:rsidRPr="000F29DE" w:rsidRDefault="005F2240" w:rsidP="0002756E">
            <w:pPr>
              <w:jc w:val="center"/>
              <w:rPr>
                <w:rFonts w:ascii="Arial" w:hAnsi="Arial" w:cs="Arial"/>
                <w:sz w:val="18"/>
                <w:szCs w:val="18"/>
              </w:rPr>
            </w:pPr>
            <w:r w:rsidRPr="000F29DE">
              <w:rPr>
                <w:rFonts w:ascii="Arial" w:hAnsi="Arial" w:cs="Arial"/>
                <w:sz w:val="18"/>
                <w:szCs w:val="18"/>
              </w:rPr>
              <w:t>Yes, but not on its own in respect of commercial landfills</w:t>
            </w:r>
          </w:p>
          <w:p w:rsidR="005F2240" w:rsidRPr="000F29DE" w:rsidRDefault="005F2240" w:rsidP="0002756E">
            <w:pPr>
              <w:jc w:val="center"/>
              <w:rPr>
                <w:rFonts w:ascii="Arial" w:hAnsi="Arial" w:cs="Arial"/>
                <w:sz w:val="18"/>
                <w:szCs w:val="18"/>
              </w:rPr>
            </w:pPr>
          </w:p>
          <w:p w:rsidR="005F2240" w:rsidRPr="00312214" w:rsidRDefault="005F2240" w:rsidP="00242C69">
            <w:pPr>
              <w:jc w:val="center"/>
              <w:rPr>
                <w:rFonts w:ascii="Arial" w:hAnsi="Arial" w:cs="Arial"/>
                <w:sz w:val="18"/>
                <w:szCs w:val="18"/>
              </w:rPr>
            </w:pPr>
            <w:r w:rsidRPr="00312214">
              <w:rPr>
                <w:rFonts w:ascii="Arial" w:hAnsi="Arial" w:cs="Arial"/>
                <w:sz w:val="18"/>
                <w:szCs w:val="18"/>
              </w:rPr>
              <w:t>Yes, subject to conditions</w:t>
            </w:r>
            <w:r w:rsidRPr="000F29DE">
              <w:rPr>
                <w:rFonts w:ascii="Arial" w:hAnsi="Arial" w:cs="Arial"/>
                <w:sz w:val="18"/>
                <w:szCs w:val="18"/>
              </w:rPr>
              <w:t xml:space="preserve"> in respect of </w:t>
            </w:r>
            <w:r w:rsidRPr="00312214">
              <w:rPr>
                <w:rFonts w:ascii="Arial" w:hAnsi="Arial" w:cs="Arial"/>
                <w:sz w:val="18"/>
                <w:szCs w:val="18"/>
              </w:rPr>
              <w:t>landfills where waste is deposited only from the on-site producer</w:t>
            </w:r>
          </w:p>
        </w:tc>
      </w:tr>
      <w:tr w:rsidR="005F2240" w:rsidRPr="00312214" w:rsidTr="009969DE">
        <w:tc>
          <w:tcPr>
            <w:tcW w:w="1951"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HASS Directive</w:t>
            </w:r>
          </w:p>
        </w:tc>
        <w:tc>
          <w:tcPr>
            <w:tcW w:w="2268" w:type="dxa"/>
            <w:vAlign w:val="center"/>
          </w:tcPr>
          <w:p w:rsidR="005F2240" w:rsidRPr="00312214" w:rsidRDefault="005F2240" w:rsidP="00242C69">
            <w:pPr>
              <w:jc w:val="center"/>
              <w:rPr>
                <w:rFonts w:ascii="Arial" w:hAnsi="Arial" w:cs="Arial"/>
                <w:sz w:val="18"/>
                <w:szCs w:val="18"/>
              </w:rPr>
            </w:pPr>
            <w:r w:rsidRPr="000F29DE">
              <w:rPr>
                <w:rFonts w:ascii="Arial" w:hAnsi="Arial" w:cs="Arial"/>
                <w:sz w:val="18"/>
                <w:szCs w:val="18"/>
              </w:rPr>
              <w:t>I</w:t>
            </w:r>
            <w:r w:rsidRPr="00312214">
              <w:rPr>
                <w:rFonts w:ascii="Arial" w:hAnsi="Arial" w:cs="Arial"/>
                <w:sz w:val="18"/>
                <w:szCs w:val="18"/>
              </w:rPr>
              <w:t>ntervention costs relating to the recovery of orphan sources</w:t>
            </w:r>
          </w:p>
        </w:tc>
        <w:tc>
          <w:tcPr>
            <w:tcW w:w="2552"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Not explicitly prohibited</w:t>
            </w:r>
          </w:p>
        </w:tc>
        <w:tc>
          <w:tcPr>
            <w:tcW w:w="2471" w:type="dxa"/>
            <w:vAlign w:val="center"/>
          </w:tcPr>
          <w:p w:rsidR="005F2240" w:rsidRPr="00312214" w:rsidRDefault="005F2240" w:rsidP="00242C69">
            <w:pPr>
              <w:jc w:val="center"/>
              <w:rPr>
                <w:rFonts w:ascii="Arial" w:hAnsi="Arial" w:cs="Arial"/>
                <w:sz w:val="18"/>
                <w:szCs w:val="18"/>
              </w:rPr>
            </w:pPr>
            <w:r w:rsidRPr="000F29DE">
              <w:rPr>
                <w:rFonts w:ascii="Arial" w:hAnsi="Arial" w:cs="Arial"/>
                <w:sz w:val="18"/>
                <w:szCs w:val="18"/>
              </w:rPr>
              <w:t>Only in ‘exceptional circumstances’ but n</w:t>
            </w:r>
            <w:r w:rsidRPr="00312214">
              <w:rPr>
                <w:rFonts w:ascii="Arial" w:hAnsi="Arial" w:cs="Arial"/>
                <w:sz w:val="18"/>
                <w:szCs w:val="18"/>
              </w:rPr>
              <w:t>ot explicitly prohibited</w:t>
            </w:r>
          </w:p>
        </w:tc>
      </w:tr>
      <w:tr w:rsidR="005F2240" w:rsidRPr="00312214" w:rsidTr="009969DE">
        <w:tc>
          <w:tcPr>
            <w:tcW w:w="1951"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Mining Waste Directive</w:t>
            </w:r>
          </w:p>
        </w:tc>
        <w:tc>
          <w:tcPr>
            <w:tcW w:w="2268" w:type="dxa"/>
            <w:vAlign w:val="center"/>
          </w:tcPr>
          <w:p w:rsidR="005F2240" w:rsidRPr="00312214" w:rsidRDefault="005F2240" w:rsidP="00C67753">
            <w:pPr>
              <w:jc w:val="center"/>
              <w:rPr>
                <w:rFonts w:ascii="Arial" w:hAnsi="Arial" w:cs="Arial"/>
                <w:sz w:val="18"/>
                <w:szCs w:val="18"/>
              </w:rPr>
            </w:pPr>
            <w:r w:rsidRPr="000F29DE">
              <w:rPr>
                <w:rFonts w:ascii="Arial" w:hAnsi="Arial" w:cs="Arial"/>
                <w:sz w:val="18"/>
                <w:szCs w:val="18"/>
              </w:rPr>
              <w:t>O</w:t>
            </w:r>
            <w:r w:rsidRPr="00312214">
              <w:rPr>
                <w:rFonts w:ascii="Arial" w:hAnsi="Arial" w:cs="Arial"/>
                <w:sz w:val="18"/>
                <w:szCs w:val="18"/>
              </w:rPr>
              <w:t xml:space="preserve">bligations under the permit including after-closure </w:t>
            </w:r>
            <w:r>
              <w:rPr>
                <w:rFonts w:ascii="Arial" w:hAnsi="Arial" w:cs="Arial"/>
                <w:sz w:val="18"/>
                <w:szCs w:val="18"/>
              </w:rPr>
              <w:t>requirements</w:t>
            </w:r>
          </w:p>
        </w:tc>
        <w:tc>
          <w:tcPr>
            <w:tcW w:w="2552"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No guidance yet provided</w:t>
            </w:r>
          </w:p>
        </w:tc>
        <w:tc>
          <w:tcPr>
            <w:tcW w:w="2471"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No guidance yet provided</w:t>
            </w:r>
          </w:p>
        </w:tc>
      </w:tr>
      <w:tr w:rsidR="005F2240" w:rsidRPr="00312214" w:rsidTr="009969DE">
        <w:tc>
          <w:tcPr>
            <w:tcW w:w="1951"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Directive on the Geological Storage of Carbon Dioxide</w:t>
            </w:r>
          </w:p>
        </w:tc>
        <w:tc>
          <w:tcPr>
            <w:tcW w:w="2268" w:type="dxa"/>
            <w:vAlign w:val="center"/>
          </w:tcPr>
          <w:p w:rsidR="005F2240" w:rsidRPr="00312214" w:rsidRDefault="005F2240" w:rsidP="00242C69">
            <w:pPr>
              <w:jc w:val="center"/>
              <w:rPr>
                <w:rFonts w:ascii="Arial" w:hAnsi="Arial" w:cs="Arial"/>
                <w:sz w:val="18"/>
                <w:szCs w:val="18"/>
              </w:rPr>
            </w:pPr>
            <w:r w:rsidRPr="000F29DE">
              <w:rPr>
                <w:rFonts w:ascii="Arial" w:hAnsi="Arial" w:cs="Arial"/>
                <w:sz w:val="18"/>
                <w:szCs w:val="18"/>
              </w:rPr>
              <w:t>O</w:t>
            </w:r>
            <w:r w:rsidRPr="00312214">
              <w:rPr>
                <w:rFonts w:ascii="Arial" w:hAnsi="Arial" w:cs="Arial"/>
                <w:sz w:val="18"/>
                <w:szCs w:val="18"/>
              </w:rPr>
              <w:t>bligations under the permit, including closure and post-closure requirements</w:t>
            </w:r>
          </w:p>
        </w:tc>
        <w:tc>
          <w:tcPr>
            <w:tcW w:w="2552"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Not prohibited but perceived to be risky</w:t>
            </w:r>
          </w:p>
        </w:tc>
        <w:tc>
          <w:tcPr>
            <w:tcW w:w="2471"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Not prohibited but perceived to be risky</w:t>
            </w:r>
          </w:p>
        </w:tc>
      </w:tr>
      <w:tr w:rsidR="005F2240" w:rsidRPr="00312214" w:rsidTr="009969DE">
        <w:tc>
          <w:tcPr>
            <w:tcW w:w="1951" w:type="dxa"/>
            <w:vAlign w:val="center"/>
          </w:tcPr>
          <w:p w:rsidR="005F2240" w:rsidRPr="00312214" w:rsidRDefault="005F2240" w:rsidP="00C67753">
            <w:pPr>
              <w:jc w:val="center"/>
              <w:rPr>
                <w:rFonts w:ascii="Arial" w:hAnsi="Arial" w:cs="Arial"/>
                <w:sz w:val="18"/>
                <w:szCs w:val="18"/>
              </w:rPr>
            </w:pPr>
            <w:r>
              <w:rPr>
                <w:rFonts w:ascii="Arial" w:hAnsi="Arial" w:cs="Arial"/>
                <w:sz w:val="18"/>
                <w:szCs w:val="18"/>
              </w:rPr>
              <w:t>Petroleum Act 1998</w:t>
            </w:r>
            <w:r>
              <w:rPr>
                <w:rStyle w:val="FootnoteReference"/>
                <w:rFonts w:ascii="Arial" w:hAnsi="Arial" w:cs="Arial"/>
                <w:sz w:val="18"/>
                <w:szCs w:val="18"/>
              </w:rPr>
              <w:footnoteReference w:id="24"/>
            </w:r>
          </w:p>
        </w:tc>
        <w:tc>
          <w:tcPr>
            <w:tcW w:w="2268" w:type="dxa"/>
            <w:vAlign w:val="center"/>
          </w:tcPr>
          <w:p w:rsidR="005F2240" w:rsidRPr="00312214" w:rsidRDefault="005F2240" w:rsidP="00FB647B">
            <w:pPr>
              <w:jc w:val="center"/>
              <w:rPr>
                <w:rFonts w:ascii="Arial" w:hAnsi="Arial" w:cs="Arial"/>
                <w:sz w:val="18"/>
                <w:szCs w:val="18"/>
              </w:rPr>
            </w:pPr>
            <w:r w:rsidRPr="000F29DE">
              <w:rPr>
                <w:rFonts w:ascii="Arial" w:hAnsi="Arial" w:cs="Arial"/>
                <w:sz w:val="18"/>
                <w:szCs w:val="18"/>
              </w:rPr>
              <w:t xml:space="preserve">Compensation for </w:t>
            </w:r>
            <w:r w:rsidR="00FB647B">
              <w:rPr>
                <w:rFonts w:ascii="Arial" w:hAnsi="Arial" w:cs="Arial"/>
                <w:sz w:val="18"/>
                <w:szCs w:val="18"/>
              </w:rPr>
              <w:t xml:space="preserve">oil </w:t>
            </w:r>
            <w:r>
              <w:rPr>
                <w:rFonts w:ascii="Arial" w:hAnsi="Arial" w:cs="Arial"/>
                <w:sz w:val="18"/>
                <w:szCs w:val="18"/>
              </w:rPr>
              <w:t xml:space="preserve">pollution </w:t>
            </w:r>
            <w:r w:rsidRPr="000F29DE">
              <w:rPr>
                <w:rFonts w:ascii="Arial" w:hAnsi="Arial" w:cs="Arial"/>
                <w:sz w:val="18"/>
                <w:szCs w:val="18"/>
              </w:rPr>
              <w:t>d</w:t>
            </w:r>
            <w:r w:rsidRPr="00312214">
              <w:rPr>
                <w:rFonts w:ascii="Arial" w:hAnsi="Arial" w:cs="Arial"/>
                <w:sz w:val="18"/>
                <w:szCs w:val="18"/>
              </w:rPr>
              <w:t xml:space="preserve">amage </w:t>
            </w:r>
            <w:r>
              <w:rPr>
                <w:rFonts w:ascii="Arial" w:hAnsi="Arial" w:cs="Arial"/>
                <w:sz w:val="18"/>
                <w:szCs w:val="18"/>
              </w:rPr>
              <w:t>and pub</w:t>
            </w:r>
            <w:r w:rsidR="00FB647B">
              <w:rPr>
                <w:rFonts w:ascii="Arial" w:hAnsi="Arial" w:cs="Arial"/>
                <w:sz w:val="18"/>
                <w:szCs w:val="18"/>
              </w:rPr>
              <w:t xml:space="preserve">lic authority remedial measures </w:t>
            </w:r>
          </w:p>
        </w:tc>
        <w:tc>
          <w:tcPr>
            <w:tcW w:w="2552"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Yes</w:t>
            </w:r>
          </w:p>
        </w:tc>
        <w:tc>
          <w:tcPr>
            <w:tcW w:w="2471" w:type="dxa"/>
            <w:vAlign w:val="center"/>
          </w:tcPr>
          <w:p w:rsidR="005F2240" w:rsidRPr="00312214" w:rsidRDefault="00DC76CB" w:rsidP="00DC76CB">
            <w:pPr>
              <w:jc w:val="center"/>
              <w:rPr>
                <w:rFonts w:ascii="Arial" w:hAnsi="Arial" w:cs="Arial"/>
                <w:sz w:val="18"/>
                <w:szCs w:val="18"/>
              </w:rPr>
            </w:pPr>
            <w:r>
              <w:rPr>
                <w:rFonts w:ascii="Arial" w:hAnsi="Arial" w:cs="Arial"/>
                <w:sz w:val="18"/>
                <w:szCs w:val="18"/>
              </w:rPr>
              <w:t>Yes</w:t>
            </w:r>
          </w:p>
        </w:tc>
      </w:tr>
      <w:tr w:rsidR="005F2240" w:rsidRPr="00312214" w:rsidTr="009969DE">
        <w:tc>
          <w:tcPr>
            <w:tcW w:w="1951"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Petroleum Act 1998</w:t>
            </w:r>
          </w:p>
        </w:tc>
        <w:tc>
          <w:tcPr>
            <w:tcW w:w="2268" w:type="dxa"/>
            <w:vAlign w:val="center"/>
          </w:tcPr>
          <w:p w:rsidR="005F2240" w:rsidRPr="00312214" w:rsidRDefault="005F2240" w:rsidP="00242C69">
            <w:pPr>
              <w:jc w:val="center"/>
              <w:rPr>
                <w:rFonts w:ascii="Arial" w:hAnsi="Arial" w:cs="Arial"/>
                <w:sz w:val="18"/>
                <w:szCs w:val="18"/>
              </w:rPr>
            </w:pPr>
            <w:r w:rsidRPr="000F29DE">
              <w:rPr>
                <w:rFonts w:ascii="Arial" w:hAnsi="Arial" w:cs="Arial"/>
                <w:sz w:val="18"/>
                <w:szCs w:val="18"/>
              </w:rPr>
              <w:t>P</w:t>
            </w:r>
            <w:r w:rsidRPr="00312214">
              <w:rPr>
                <w:rFonts w:ascii="Arial" w:hAnsi="Arial" w:cs="Arial"/>
                <w:sz w:val="18"/>
                <w:szCs w:val="18"/>
              </w:rPr>
              <w:t>lugging and abandoning wells as well as harm to third parties caused by pollution</w:t>
            </w:r>
          </w:p>
        </w:tc>
        <w:tc>
          <w:tcPr>
            <w:tcW w:w="2552"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Yes</w:t>
            </w:r>
          </w:p>
        </w:tc>
        <w:tc>
          <w:tcPr>
            <w:tcW w:w="2471"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Yes</w:t>
            </w:r>
          </w:p>
        </w:tc>
      </w:tr>
      <w:tr w:rsidR="005F2240" w:rsidRPr="00312214" w:rsidTr="009969DE">
        <w:tc>
          <w:tcPr>
            <w:tcW w:w="1951"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Petroleum Act 1998</w:t>
            </w:r>
          </w:p>
        </w:tc>
        <w:tc>
          <w:tcPr>
            <w:tcW w:w="2268" w:type="dxa"/>
            <w:vAlign w:val="center"/>
          </w:tcPr>
          <w:p w:rsidR="005F2240" w:rsidRPr="00312214" w:rsidRDefault="005F2240" w:rsidP="00242C69">
            <w:pPr>
              <w:jc w:val="center"/>
              <w:rPr>
                <w:rFonts w:ascii="Arial" w:hAnsi="Arial" w:cs="Arial"/>
                <w:sz w:val="18"/>
                <w:szCs w:val="18"/>
              </w:rPr>
            </w:pPr>
            <w:r w:rsidRPr="000F29DE">
              <w:rPr>
                <w:rFonts w:ascii="Arial" w:hAnsi="Arial" w:cs="Arial"/>
                <w:sz w:val="18"/>
                <w:szCs w:val="18"/>
              </w:rPr>
              <w:t>D</w:t>
            </w:r>
            <w:r w:rsidRPr="00312214">
              <w:rPr>
                <w:rFonts w:ascii="Arial" w:hAnsi="Arial" w:cs="Arial"/>
                <w:sz w:val="18"/>
                <w:szCs w:val="18"/>
              </w:rPr>
              <w:t>ecommissioning obligations</w:t>
            </w:r>
          </w:p>
        </w:tc>
        <w:tc>
          <w:tcPr>
            <w:tcW w:w="2552"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Yes, subject to conditions</w:t>
            </w:r>
          </w:p>
        </w:tc>
        <w:tc>
          <w:tcPr>
            <w:tcW w:w="2471"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Yes, but not on its own (required if a licensee depends on the financial support of its parent)</w:t>
            </w:r>
          </w:p>
        </w:tc>
      </w:tr>
      <w:tr w:rsidR="005F2240" w:rsidRPr="00312214" w:rsidTr="009969DE">
        <w:tc>
          <w:tcPr>
            <w:tcW w:w="1951"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Energy Act 2004</w:t>
            </w:r>
          </w:p>
        </w:tc>
        <w:tc>
          <w:tcPr>
            <w:tcW w:w="2268" w:type="dxa"/>
            <w:vAlign w:val="center"/>
          </w:tcPr>
          <w:p w:rsidR="005F2240" w:rsidRPr="00312214" w:rsidRDefault="005F2240" w:rsidP="00242C69">
            <w:pPr>
              <w:jc w:val="center"/>
              <w:rPr>
                <w:rFonts w:ascii="Arial" w:hAnsi="Arial" w:cs="Arial"/>
                <w:sz w:val="18"/>
                <w:szCs w:val="18"/>
              </w:rPr>
            </w:pPr>
            <w:r w:rsidRPr="000F29DE">
              <w:rPr>
                <w:rFonts w:ascii="Arial" w:hAnsi="Arial" w:cs="Arial"/>
                <w:sz w:val="18"/>
                <w:szCs w:val="18"/>
              </w:rPr>
              <w:t>D</w:t>
            </w:r>
            <w:r w:rsidRPr="00312214">
              <w:rPr>
                <w:rFonts w:ascii="Arial" w:hAnsi="Arial" w:cs="Arial"/>
                <w:sz w:val="18"/>
                <w:szCs w:val="18"/>
              </w:rPr>
              <w:t>ecommissioning offshore wind and marine energy installations</w:t>
            </w:r>
          </w:p>
        </w:tc>
        <w:tc>
          <w:tcPr>
            <w:tcW w:w="2552"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Not explicitly prohibited</w:t>
            </w:r>
          </w:p>
        </w:tc>
        <w:tc>
          <w:tcPr>
            <w:tcW w:w="2471" w:type="dxa"/>
            <w:vAlign w:val="center"/>
          </w:tcPr>
          <w:p w:rsidR="005F2240" w:rsidRPr="00312214" w:rsidRDefault="005F2240" w:rsidP="00242C69">
            <w:pPr>
              <w:jc w:val="center"/>
              <w:rPr>
                <w:rFonts w:ascii="Arial" w:hAnsi="Arial" w:cs="Arial"/>
                <w:sz w:val="18"/>
                <w:szCs w:val="18"/>
              </w:rPr>
            </w:pPr>
            <w:r w:rsidRPr="00312214">
              <w:rPr>
                <w:rFonts w:ascii="Arial" w:hAnsi="Arial" w:cs="Arial"/>
                <w:sz w:val="18"/>
                <w:szCs w:val="18"/>
              </w:rPr>
              <w:t>No</w:t>
            </w:r>
          </w:p>
        </w:tc>
      </w:tr>
    </w:tbl>
    <w:p w:rsidR="00FB647B" w:rsidRDefault="00FB647B" w:rsidP="004151B6">
      <w:pPr>
        <w:pStyle w:val="PhDParagraph"/>
      </w:pPr>
    </w:p>
    <w:p w:rsidR="00FB647B" w:rsidRPr="00FB647B" w:rsidRDefault="00FB647B" w:rsidP="00FB647B">
      <w:pPr>
        <w:pStyle w:val="PhDParagraphnoIdent"/>
      </w:pPr>
    </w:p>
    <w:p w:rsidR="00024A5B" w:rsidRPr="00C763D8" w:rsidRDefault="00024A5B" w:rsidP="004151B6">
      <w:pPr>
        <w:pStyle w:val="PhDParagraph"/>
      </w:pPr>
      <w:r w:rsidRPr="00C763D8">
        <w:lastRenderedPageBreak/>
        <w:t>The Landfill Directive requires the o</w:t>
      </w:r>
      <w:r w:rsidR="00542A07">
        <w:t>perator of a landfill to make</w:t>
      </w:r>
      <w:r>
        <w:t xml:space="preserve"> ‘</w:t>
      </w:r>
      <w:r w:rsidRPr="00C763D8">
        <w:t>...adequate provisions, by way of a financial security or any other equivalent...to ensure that the obligations (including after-care provisions) arising under the permit...are discharged and that the clo</w:t>
      </w:r>
      <w:r>
        <w:t>sure procedures...are followed.’</w:t>
      </w:r>
      <w:r w:rsidRPr="00C763D8">
        <w:rPr>
          <w:vertAlign w:val="superscript"/>
        </w:rPr>
        <w:footnoteReference w:id="25"/>
      </w:r>
      <w:r w:rsidRPr="00C763D8">
        <w:t xml:space="preserve"> The</w:t>
      </w:r>
      <w:r w:rsidR="00542A07">
        <w:t xml:space="preserve"> financial provision is to be</w:t>
      </w:r>
      <w:r>
        <w:t xml:space="preserve"> ‘</w:t>
      </w:r>
      <w:r w:rsidRPr="00C763D8">
        <w:t>...suffic</w:t>
      </w:r>
      <w:r>
        <w:t>ient, secure and adequate...’</w:t>
      </w:r>
      <w:r w:rsidRPr="00C763D8">
        <w:rPr>
          <w:vertAlign w:val="superscript"/>
        </w:rPr>
        <w:footnoteReference w:id="26"/>
      </w:r>
      <w:r w:rsidRPr="00C763D8">
        <w:t xml:space="preserve"> and must be established before the permit is issued and maintained throughout the closure and aftercare periods.</w:t>
      </w:r>
      <w:r w:rsidRPr="00C763D8">
        <w:rPr>
          <w:vertAlign w:val="superscript"/>
        </w:rPr>
        <w:footnoteReference w:id="27"/>
      </w:r>
      <w:r w:rsidRPr="00C763D8">
        <w:t xml:space="preserve"> </w:t>
      </w:r>
      <w:r w:rsidR="00542A07">
        <w:t>It must cover</w:t>
      </w:r>
      <w:r>
        <w:t xml:space="preserve"> ‘</w:t>
      </w:r>
      <w:r w:rsidRPr="00C763D8">
        <w:t>...justified an</w:t>
      </w:r>
      <w:r>
        <w:t>d definable specified events...’</w:t>
      </w:r>
      <w:r w:rsidRPr="00C763D8">
        <w:t xml:space="preserve"> such as the failure of a le</w:t>
      </w:r>
      <w:r>
        <w:t>achate pipeline or an explosion</w:t>
      </w:r>
      <w:r w:rsidRPr="00C763D8">
        <w:t xml:space="preserve"> during closure or aftercare.</w:t>
      </w:r>
      <w:r w:rsidRPr="00C763D8">
        <w:rPr>
          <w:vertAlign w:val="superscript"/>
        </w:rPr>
        <w:footnoteReference w:id="28"/>
      </w:r>
      <w:r w:rsidRPr="00C763D8">
        <w:t xml:space="preserve"> It does not include potential claims from third-parties following pollution incidents</w:t>
      </w:r>
      <w:r w:rsidRPr="00C763D8">
        <w:rPr>
          <w:vertAlign w:val="superscript"/>
        </w:rPr>
        <w:footnoteReference w:id="29"/>
      </w:r>
      <w:r>
        <w:t xml:space="preserve"> or </w:t>
      </w:r>
      <w:r w:rsidRPr="00CD2FEE">
        <w:t>accidents</w:t>
      </w:r>
      <w:r>
        <w:t xml:space="preserve"> during the operational phase.</w:t>
      </w:r>
    </w:p>
    <w:p w:rsidR="00024A5B" w:rsidRPr="00C763D8" w:rsidRDefault="00024A5B" w:rsidP="00024A5B">
      <w:pPr>
        <w:pStyle w:val="PhDParagraph"/>
      </w:pPr>
      <w:r w:rsidRPr="00C763D8">
        <w:t>The principal acceptable mechanisms are renewable bonds, escrow accounts, cash deposits with the Environment Agency</w:t>
      </w:r>
      <w:r>
        <w:t xml:space="preserve"> (in England)</w:t>
      </w:r>
      <w:r w:rsidRPr="00C763D8">
        <w:t>, a local authority deed agreement, and trust based investment portfolios.</w:t>
      </w:r>
      <w:r>
        <w:rPr>
          <w:rStyle w:val="FootnoteReference"/>
        </w:rPr>
        <w:footnoteReference w:id="30"/>
      </w:r>
      <w:r w:rsidRPr="00C763D8">
        <w:t xml:space="preserve"> The Agency does not accept, on their own, a financial provision in accounts or overdrafts for landfills or a parent company guarantee for comm</w:t>
      </w:r>
      <w:r w:rsidR="00542A07">
        <w:t>ercial landfills because they</w:t>
      </w:r>
      <w:r>
        <w:t xml:space="preserve"> ‘</w:t>
      </w:r>
      <w:r w:rsidRPr="00C763D8">
        <w:t>...do not offer adequate security that funds w</w:t>
      </w:r>
      <w:r>
        <w:t>ill be available when required.’</w:t>
      </w:r>
      <w:r w:rsidRPr="00C763D8">
        <w:rPr>
          <w:vertAlign w:val="superscript"/>
        </w:rPr>
        <w:footnoteReference w:id="31"/>
      </w:r>
      <w:r w:rsidRPr="00C763D8">
        <w:t xml:space="preserve"> Indeed, this </w:t>
      </w:r>
      <w:r>
        <w:t xml:space="preserve">crucial </w:t>
      </w:r>
      <w:r w:rsidRPr="00C763D8">
        <w:t xml:space="preserve">recognition </w:t>
      </w:r>
      <w:r>
        <w:t xml:space="preserve">will be returned to later in this </w:t>
      </w:r>
      <w:r w:rsidR="00CD34E3">
        <w:t>article</w:t>
      </w:r>
      <w:r w:rsidRPr="00C763D8">
        <w:t xml:space="preserve">. </w:t>
      </w:r>
      <w:r>
        <w:t>In respect of landfills where waste is deposited only from the on-site producer t</w:t>
      </w:r>
      <w:r w:rsidRPr="00C763D8">
        <w:t>he Agency may</w:t>
      </w:r>
      <w:r>
        <w:t xml:space="preserve"> ‘</w:t>
      </w:r>
      <w:r w:rsidRPr="00C763D8">
        <w:t>...accept specific mechanisms (suc</w:t>
      </w:r>
      <w:r>
        <w:t>h as parent company bonding)...’</w:t>
      </w:r>
      <w:r w:rsidR="00542A07">
        <w:t xml:space="preserve"> when an operator is</w:t>
      </w:r>
      <w:r w:rsidRPr="00C763D8">
        <w:t xml:space="preserve"> </w:t>
      </w:r>
      <w:r>
        <w:t>‘</w:t>
      </w:r>
      <w:r w:rsidRPr="00C763D8">
        <w:t>...a minor subsidiary of a diverse business with credit ra</w:t>
      </w:r>
      <w:r>
        <w:t>tings similar to that of a bank...[and]...</w:t>
      </w:r>
      <w:r w:rsidRPr="00C763D8">
        <w:t xml:space="preserve">the parent company is financially independent of the subsidiary and </w:t>
      </w:r>
      <w:r w:rsidRPr="00C763D8">
        <w:lastRenderedPageBreak/>
        <w:t>demonstrably not reliant on the financi</w:t>
      </w:r>
      <w:r>
        <w:t>al performance of the operator.’</w:t>
      </w:r>
      <w:r w:rsidRPr="00C763D8">
        <w:rPr>
          <w:vertAlign w:val="superscript"/>
        </w:rPr>
        <w:footnoteReference w:id="32"/>
      </w:r>
      <w:r w:rsidRPr="00C763D8">
        <w:t xml:space="preserve"> Therefore, in certain, carefully defined situations, </w:t>
      </w:r>
      <w:r w:rsidR="00915BBD" w:rsidRPr="00915BBD">
        <w:t>self-insurance</w:t>
      </w:r>
      <w:r w:rsidRPr="00C763D8">
        <w:t xml:space="preserve"> is permitted.</w:t>
      </w:r>
    </w:p>
    <w:p w:rsidR="00024A5B" w:rsidRPr="00C763D8" w:rsidRDefault="00024A5B" w:rsidP="00024A5B">
      <w:pPr>
        <w:pStyle w:val="PhDParagraph"/>
      </w:pPr>
      <w:r w:rsidRPr="00C763D8">
        <w:t>The HASS Directive, which protects human health from exposure to ionising radiation from high-activity sealed sources (that is, encapsulated highly radioactive material)</w:t>
      </w:r>
      <w:r>
        <w:t>,</w:t>
      </w:r>
      <w:r w:rsidRPr="00C763D8">
        <w:t xml:space="preserve"> directs Member States to</w:t>
      </w:r>
      <w:r w:rsidR="00D50D98">
        <w:t xml:space="preserve"> ensure that</w:t>
      </w:r>
      <w:r>
        <w:t xml:space="preserve"> ‘</w:t>
      </w:r>
      <w:r w:rsidRPr="00C763D8">
        <w:t>...a system of financial security is established or any other equivalent means to cover intervention costs relating to th</w:t>
      </w:r>
      <w:r>
        <w:t>e recovery of o</w:t>
      </w:r>
      <w:r w:rsidR="001E070F">
        <w:t>rphan sources...’.</w:t>
      </w:r>
      <w:r w:rsidRPr="00C763D8">
        <w:rPr>
          <w:vertAlign w:val="superscript"/>
        </w:rPr>
        <w:footnoteReference w:id="33"/>
      </w:r>
      <w:r w:rsidRPr="00C763D8">
        <w:t xml:space="preserve"> The requirements are more stringent under the Basic Safety Standards Directive which must be transposed by Member States by 6 February 2018.</w:t>
      </w:r>
      <w:r w:rsidRPr="00C763D8">
        <w:rPr>
          <w:vertAlign w:val="superscript"/>
        </w:rPr>
        <w:footnoteReference w:id="34"/>
      </w:r>
      <w:r w:rsidRPr="00C763D8">
        <w:t xml:space="preserve"> It directs Member States to ensure that before an authorisation for practices involving a high-act</w:t>
      </w:r>
      <w:r w:rsidR="00D50D98">
        <w:t>ivity sealed source is issued</w:t>
      </w:r>
      <w:r>
        <w:t xml:space="preserve"> ‘</w:t>
      </w:r>
      <w:r w:rsidRPr="00C763D8">
        <w:t xml:space="preserve">...adequate provision, by way of a financial security or any other equivalent means </w:t>
      </w:r>
      <w:r w:rsidRPr="001E070F">
        <w:rPr>
          <w:i/>
        </w:rPr>
        <w:t>appropriate for the source in question</w:t>
      </w:r>
      <w:r w:rsidR="001E070F">
        <w:t>...’ is made ‘...</w:t>
      </w:r>
      <w:r w:rsidRPr="00C763D8">
        <w:t xml:space="preserve">for the safe management of sources when they become disused sources, </w:t>
      </w:r>
      <w:r w:rsidRPr="009F6888">
        <w:rPr>
          <w:i/>
        </w:rPr>
        <w:t>including the case where the undertaking becomes insolvent or ceases its activities</w:t>
      </w:r>
      <w:r>
        <w:t>.’</w:t>
      </w:r>
      <w:r w:rsidRPr="00C763D8">
        <w:rPr>
          <w:vertAlign w:val="superscript"/>
        </w:rPr>
        <w:footnoteReference w:id="35"/>
      </w:r>
      <w:r w:rsidR="00D54518">
        <w:t xml:space="preserve"> In addition,</w:t>
      </w:r>
      <w:r>
        <w:t xml:space="preserve"> ‘</w:t>
      </w:r>
      <w:r w:rsidRPr="00C763D8">
        <w:t>...a financial security s</w:t>
      </w:r>
      <w:r>
        <w:t>ystem or other equivalent means</w:t>
      </w:r>
      <w:proofErr w:type="gramStart"/>
      <w:r>
        <w:t>...[</w:t>
      </w:r>
      <w:proofErr w:type="gramEnd"/>
      <w:r>
        <w:t>must]...</w:t>
      </w:r>
      <w:r w:rsidRPr="00C763D8">
        <w:t>cover intervention costs relating to the recovery of</w:t>
      </w:r>
      <w:r>
        <w:t xml:space="preserve"> orphan sources...’</w:t>
      </w:r>
      <w:r w:rsidRPr="00C763D8">
        <w:t xml:space="preserve"> including their management, control and disposal.</w:t>
      </w:r>
      <w:r w:rsidRPr="00C763D8">
        <w:rPr>
          <w:vertAlign w:val="superscript"/>
        </w:rPr>
        <w:footnoteReference w:id="36"/>
      </w:r>
      <w:r w:rsidRPr="00C763D8">
        <w:t xml:space="preserve"> One reason for the increased stringency is the discovery of orphan sources on the premises of insolvent companies, public places and municipal dumps.</w:t>
      </w:r>
      <w:r w:rsidRPr="00C763D8">
        <w:rPr>
          <w:vertAlign w:val="superscript"/>
        </w:rPr>
        <w:footnoteReference w:id="37"/>
      </w:r>
      <w:r w:rsidRPr="00C763D8">
        <w:t xml:space="preserve"> Guidance </w:t>
      </w:r>
      <w:r w:rsidR="00B76FDF">
        <w:t>from</w:t>
      </w:r>
      <w:r w:rsidR="00B776F6">
        <w:t xml:space="preserve"> the</w:t>
      </w:r>
      <w:r w:rsidRPr="00C763D8">
        <w:t xml:space="preserve"> </w:t>
      </w:r>
      <w:r w:rsidR="00B776F6" w:rsidRPr="00B776F6">
        <w:t>Department of Energy &amp; Climate Change (DECC)</w:t>
      </w:r>
      <w:r w:rsidRPr="00C763D8">
        <w:t xml:space="preserve"> specifies the following financial securi</w:t>
      </w:r>
      <w:r>
        <w:t>ty mechanisms: ring-fenced cash and</w:t>
      </w:r>
      <w:r w:rsidRPr="00C763D8">
        <w:t xml:space="preserve"> third-</w:t>
      </w:r>
      <w:r w:rsidRPr="00C763D8">
        <w:lastRenderedPageBreak/>
        <w:t>party guarantees in the form of a bond or letter of credit,</w:t>
      </w:r>
      <w:r>
        <w:rPr>
          <w:rStyle w:val="FootnoteReference"/>
        </w:rPr>
        <w:footnoteReference w:id="38"/>
      </w:r>
      <w:r w:rsidRPr="00C763D8">
        <w:t xml:space="preserve"> </w:t>
      </w:r>
      <w:r>
        <w:t>with</w:t>
      </w:r>
      <w:r w:rsidRPr="00C763D8">
        <w:t xml:space="preserve"> parent company guarantees </w:t>
      </w:r>
      <w:r>
        <w:t>on</w:t>
      </w:r>
      <w:r w:rsidRPr="00C763D8">
        <w:t>ly</w:t>
      </w:r>
      <w:r>
        <w:t xml:space="preserve"> in ‘exceptional circumstances’</w:t>
      </w:r>
      <w:r w:rsidRPr="00C763D8">
        <w:t>.</w:t>
      </w:r>
      <w:r w:rsidRPr="00C763D8">
        <w:rPr>
          <w:rFonts w:cs="Arial"/>
          <w:vertAlign w:val="superscript"/>
        </w:rPr>
        <w:footnoteReference w:id="39"/>
      </w:r>
      <w:r w:rsidRPr="00C763D8">
        <w:t xml:space="preserve"> The </w:t>
      </w:r>
      <w:r>
        <w:t>g</w:t>
      </w:r>
      <w:r w:rsidRPr="00C763D8">
        <w:t xml:space="preserve">uidance is designed to ensure that funds are available in the event of </w:t>
      </w:r>
      <w:r>
        <w:t>the insolvency of the operator</w:t>
      </w:r>
      <w:r w:rsidRPr="00C763D8">
        <w:t xml:space="preserve"> or its parent.</w:t>
      </w:r>
      <w:r w:rsidRPr="00C763D8">
        <w:rPr>
          <w:vertAlign w:val="superscript"/>
        </w:rPr>
        <w:footnoteReference w:id="40"/>
      </w:r>
      <w:r>
        <w:t xml:space="preserve"> As will be argued </w:t>
      </w:r>
      <w:r w:rsidR="00CF509A">
        <w:t>below</w:t>
      </w:r>
      <w:r>
        <w:t xml:space="preserve">, </w:t>
      </w:r>
      <w:r w:rsidR="00915BBD" w:rsidRPr="00915BBD">
        <w:t>self-insurance</w:t>
      </w:r>
      <w:r>
        <w:t xml:space="preserve"> cannot guarantee that this will be the case.</w:t>
      </w:r>
    </w:p>
    <w:p w:rsidR="00024A5B" w:rsidRPr="00C763D8" w:rsidRDefault="00024A5B" w:rsidP="00024A5B">
      <w:pPr>
        <w:pStyle w:val="PhDParagraph"/>
      </w:pPr>
      <w:r w:rsidRPr="00C763D8">
        <w:t>The Mining Waste Directive provides that the operator of a Category A or hazar</w:t>
      </w:r>
      <w:r w:rsidR="003C3C12">
        <w:t>dous waste facility must make</w:t>
      </w:r>
      <w:r>
        <w:t xml:space="preserve"> ‘</w:t>
      </w:r>
      <w:r w:rsidRPr="00C763D8">
        <w:t>...a financial guarantee (e.g. in the form of a financial deposit, including industry-sponsored mutual gu</w:t>
      </w:r>
      <w:r>
        <w:t>arantee funds) or equivalent...’</w:t>
      </w:r>
      <w:r w:rsidRPr="00C763D8">
        <w:t xml:space="preserve"> before operations begin.</w:t>
      </w:r>
      <w:r w:rsidRPr="00C763D8">
        <w:rPr>
          <w:vertAlign w:val="superscript"/>
        </w:rPr>
        <w:footnoteReference w:id="41"/>
      </w:r>
      <w:r w:rsidRPr="00C763D8">
        <w:t xml:space="preserve"> The </w:t>
      </w:r>
      <w:r>
        <w:t>financial guarantee must cover ‘</w:t>
      </w:r>
      <w:r w:rsidRPr="00C763D8">
        <w:t>...all obligations under the permit...inc</w:t>
      </w:r>
      <w:r>
        <w:t>luding after-closure provisions’</w:t>
      </w:r>
      <w:r>
        <w:rPr>
          <w:rStyle w:val="FootnoteReference"/>
        </w:rPr>
        <w:footnoteReference w:id="42"/>
      </w:r>
      <w:r>
        <w:t xml:space="preserve"> and ensure that ‘</w:t>
      </w:r>
      <w:r w:rsidR="00B56B16">
        <w:t>...</w:t>
      </w:r>
      <w:r w:rsidRPr="00C763D8">
        <w:t>there are funds readily available at any given time for the rehabilitation of the land affected by the waste f</w:t>
      </w:r>
      <w:r>
        <w:t>acility...’.</w:t>
      </w:r>
      <w:r w:rsidRPr="00C763D8">
        <w:rPr>
          <w:vertAlign w:val="superscript"/>
        </w:rPr>
        <w:footnoteReference w:id="43"/>
      </w:r>
      <w:r>
        <w:t xml:space="preserve"> </w:t>
      </w:r>
      <w:r w:rsidRPr="004B18E6">
        <w:t xml:space="preserve">The Agency </w:t>
      </w:r>
      <w:r>
        <w:t>is to</w:t>
      </w:r>
      <w:r w:rsidRPr="004B18E6">
        <w:t xml:space="preserve"> provide guidance on acceptable financial security mechanisms</w:t>
      </w:r>
      <w:r>
        <w:t>,</w:t>
      </w:r>
      <w:r>
        <w:rPr>
          <w:rStyle w:val="FootnoteReference"/>
        </w:rPr>
        <w:footnoteReference w:id="44"/>
      </w:r>
      <w:r>
        <w:t xml:space="preserve"> but the Directive is certainly not prohibitive of the possibility of </w:t>
      </w:r>
      <w:r w:rsidR="00915BBD" w:rsidRPr="00915BBD">
        <w:t>self-insurance</w:t>
      </w:r>
      <w:r>
        <w:t xml:space="preserve"> being utilised.</w:t>
      </w:r>
    </w:p>
    <w:p w:rsidR="00024A5B" w:rsidRPr="00C763D8" w:rsidRDefault="00024A5B" w:rsidP="00024A5B">
      <w:pPr>
        <w:pStyle w:val="PhDParagraph"/>
      </w:pPr>
      <w:r w:rsidRPr="00C763D8">
        <w:t>Further, the Directive on the Geological Storage of Carbon Dioxide requires an applicant for a permit to</w:t>
      </w:r>
      <w:r w:rsidR="007B4223">
        <w:t xml:space="preserve"> store carbon dioxide to have</w:t>
      </w:r>
      <w:r>
        <w:t xml:space="preserve"> ‘</w:t>
      </w:r>
      <w:r w:rsidRPr="00C763D8">
        <w:t>...financial secu</w:t>
      </w:r>
      <w:r>
        <w:t>rity or any other equivalent...’</w:t>
      </w:r>
      <w:r w:rsidRPr="00C763D8">
        <w:t xml:space="preserve"> to ensure that it meets obligations under the permit</w:t>
      </w:r>
      <w:r>
        <w:t>,</w:t>
      </w:r>
      <w:r w:rsidRPr="00C763D8">
        <w:t xml:space="preserve"> including closure and post-</w:t>
      </w:r>
      <w:r w:rsidRPr="00C763D8">
        <w:lastRenderedPageBreak/>
        <w:t>closure requirements</w:t>
      </w:r>
      <w:r>
        <w:t>,</w:t>
      </w:r>
      <w:r w:rsidRPr="00C763D8">
        <w:t xml:space="preserve"> before it may begin injecting carbon dioxide into the storage facility.</w:t>
      </w:r>
      <w:r w:rsidRPr="00C763D8">
        <w:rPr>
          <w:vertAlign w:val="superscript"/>
        </w:rPr>
        <w:footnoteReference w:id="45"/>
      </w:r>
      <w:r w:rsidRPr="00C763D8">
        <w:t xml:space="preserve"> Acceptable financial security instruments include</w:t>
      </w:r>
      <w:r>
        <w:t>:</w:t>
      </w:r>
      <w:r w:rsidRPr="00C763D8">
        <w:t xml:space="preserve"> funds, financial institution guarantees, insurance, and first-party and related party guarantees, bonds issued by a surety or a bank, and escrow accounts.</w:t>
      </w:r>
      <w:r w:rsidRPr="00C763D8">
        <w:rPr>
          <w:vertAlign w:val="superscript"/>
        </w:rPr>
        <w:footnoteReference w:id="46"/>
      </w:r>
      <w:r w:rsidRPr="00C763D8">
        <w:t xml:space="preserve"> The European Commission considers self-insurance and corporate guarantee</w:t>
      </w:r>
      <w:r>
        <w:t>s</w:t>
      </w:r>
      <w:r w:rsidRPr="00C763D8">
        <w:t xml:space="preserve"> from an affiliated company to be risky </w:t>
      </w:r>
      <w:r>
        <w:t>owing to</w:t>
      </w:r>
      <w:r w:rsidRPr="00C763D8">
        <w:t xml:space="preserve"> the lack of protection</w:t>
      </w:r>
      <w:r>
        <w:t xml:space="preserve"> they afford</w:t>
      </w:r>
      <w:r w:rsidRPr="00C763D8">
        <w:t xml:space="preserve"> from creditors’ claims.</w:t>
      </w:r>
      <w:r w:rsidRPr="00C763D8">
        <w:rPr>
          <w:vertAlign w:val="superscript"/>
        </w:rPr>
        <w:footnoteReference w:id="47"/>
      </w:r>
      <w:r w:rsidRPr="00C763D8">
        <w:t xml:space="preserve"> </w:t>
      </w:r>
      <w:r>
        <w:t xml:space="preserve">It </w:t>
      </w:r>
      <w:r w:rsidR="008042CC">
        <w:t>acknowledges</w:t>
      </w:r>
      <w:r>
        <w:t xml:space="preserve"> that</w:t>
      </w:r>
      <w:r w:rsidRPr="00C763D8">
        <w:t xml:space="preserve"> the </w:t>
      </w:r>
      <w:r>
        <w:t xml:space="preserve">degree of certainty </w:t>
      </w:r>
      <w:r w:rsidR="008042CC">
        <w:t>which these measures provide</w:t>
      </w:r>
      <w:r w:rsidRPr="00C763D8">
        <w:t xml:space="preserve"> depend </w:t>
      </w:r>
      <w:r>
        <w:t>up</w:t>
      </w:r>
      <w:r w:rsidRPr="00C763D8">
        <w:t>on the stringency of annual reviews of financial statements and/or applicable credit ratings.</w:t>
      </w:r>
      <w:r w:rsidRPr="00C763D8">
        <w:rPr>
          <w:vertAlign w:val="superscript"/>
        </w:rPr>
        <w:footnoteReference w:id="48"/>
      </w:r>
      <w:r w:rsidRPr="00C763D8">
        <w:t xml:space="preserve"> </w:t>
      </w:r>
      <w:r>
        <w:t xml:space="preserve">As discussed </w:t>
      </w:r>
      <w:r w:rsidR="008042CC">
        <w:t>below</w:t>
      </w:r>
      <w:r>
        <w:t>, the regula</w:t>
      </w:r>
      <w:r w:rsidR="00424CE8">
        <w:t>to</w:t>
      </w:r>
      <w:r>
        <w:t xml:space="preserve">r may be subject to resource constraints, human and financial, which </w:t>
      </w:r>
      <w:r w:rsidR="008042CC">
        <w:t>may hinder</w:t>
      </w:r>
      <w:r>
        <w:t xml:space="preserve"> a robust </w:t>
      </w:r>
      <w:r w:rsidR="000B6658">
        <w:t>review</w:t>
      </w:r>
      <w:r>
        <w:t>.</w:t>
      </w:r>
    </w:p>
    <w:p w:rsidR="00024A5B" w:rsidRPr="00C763D8" w:rsidRDefault="00024A5B" w:rsidP="00024A5B">
      <w:pPr>
        <w:pStyle w:val="PhDParagraph"/>
        <w:rPr>
          <w:rFonts w:cs="Times New Roman"/>
          <w:lang w:eastAsia="fr-FR"/>
        </w:rPr>
      </w:pPr>
      <w:r w:rsidRPr="00C763D8">
        <w:rPr>
          <w:lang w:eastAsia="fr-FR"/>
        </w:rPr>
        <w:t xml:space="preserve">Financial security </w:t>
      </w:r>
      <w:r>
        <w:rPr>
          <w:lang w:eastAsia="fr-FR"/>
        </w:rPr>
        <w:t>requirements</w:t>
      </w:r>
      <w:r w:rsidRPr="00C763D8">
        <w:rPr>
          <w:lang w:eastAsia="fr-FR"/>
        </w:rPr>
        <w:t xml:space="preserve"> for offshore facilities tend to be more stringent than those for onshore facilities and operations</w:t>
      </w:r>
      <w:r>
        <w:rPr>
          <w:lang w:eastAsia="fr-FR"/>
        </w:rPr>
        <w:t xml:space="preserve">. </w:t>
      </w:r>
      <w:r w:rsidR="00606ED5">
        <w:rPr>
          <w:lang w:eastAsia="fr-FR"/>
        </w:rPr>
        <w:t>They do, however,</w:t>
      </w:r>
      <w:r w:rsidR="008B7B3F">
        <w:rPr>
          <w:lang w:eastAsia="fr-FR"/>
        </w:rPr>
        <w:t xml:space="preserve"> </w:t>
      </w:r>
      <w:r w:rsidRPr="00C763D8">
        <w:rPr>
          <w:lang w:eastAsia="fr-FR"/>
        </w:rPr>
        <w:t xml:space="preserve">appear to </w:t>
      </w:r>
      <w:r>
        <w:rPr>
          <w:lang w:eastAsia="fr-FR"/>
        </w:rPr>
        <w:t>offer</w:t>
      </w:r>
      <w:r w:rsidRPr="00C763D8">
        <w:rPr>
          <w:lang w:eastAsia="fr-FR"/>
        </w:rPr>
        <w:t xml:space="preserve"> greater scope </w:t>
      </w:r>
      <w:r w:rsidRPr="00624542">
        <w:rPr>
          <w:lang w:eastAsia="fr-FR"/>
        </w:rPr>
        <w:t xml:space="preserve">to invoke </w:t>
      </w:r>
      <w:r w:rsidR="00915BBD" w:rsidRPr="00915BBD">
        <w:rPr>
          <w:lang w:eastAsia="fr-FR"/>
        </w:rPr>
        <w:t>self-insurance</w:t>
      </w:r>
      <w:r w:rsidRPr="00624542">
        <w:rPr>
          <w:lang w:eastAsia="fr-FR"/>
        </w:rPr>
        <w:t xml:space="preserve">. </w:t>
      </w:r>
      <w:r>
        <w:rPr>
          <w:lang w:eastAsia="fr-FR"/>
        </w:rPr>
        <w:t xml:space="preserve">For example, </w:t>
      </w:r>
      <w:r>
        <w:t>a</w:t>
      </w:r>
      <w:r w:rsidRPr="00624542">
        <w:t>pplicants for a</w:t>
      </w:r>
      <w:r>
        <w:t>n</w:t>
      </w:r>
      <w:r w:rsidRPr="00624542">
        <w:t xml:space="preserve"> oil and gas licence</w:t>
      </w:r>
      <w:r w:rsidRPr="00C763D8">
        <w:t xml:space="preserve"> </w:t>
      </w:r>
      <w:r>
        <w:t xml:space="preserve">on the UK continental shelf </w:t>
      </w:r>
      <w:r w:rsidRPr="00C763D8">
        <w:t>must be members of the Offshore Pollution Liability Association Ltd (OPOL).</w:t>
      </w:r>
      <w:r w:rsidRPr="00C763D8">
        <w:rPr>
          <w:vertAlign w:val="superscript"/>
        </w:rPr>
        <w:footnoteReference w:id="49"/>
      </w:r>
      <w:r>
        <w:t xml:space="preserve"> OPOL</w:t>
      </w:r>
      <w:r w:rsidRPr="00C763D8">
        <w:t xml:space="preserve"> establishes a voluntary mutual scheme to pay compensation up to an overall limit of US$250 million per incident for damage from oil pollution caused by its members.</w:t>
      </w:r>
      <w:r w:rsidRPr="00C763D8">
        <w:rPr>
          <w:vertAlign w:val="superscript"/>
        </w:rPr>
        <w:footnoteReference w:id="50"/>
      </w:r>
      <w:r w:rsidRPr="00C763D8">
        <w:t xml:space="preserve"> Members are required to show financial responsibility by one, or a combination, of the following mechanisms: insurance of at least US$250 million for any one incident and US$500 million in the annual aggregate with a maximum deductible of US$10 million per occurrence from an insurer with a specified financial strength credit rating;</w:t>
      </w:r>
      <w:r w:rsidRPr="00C763D8">
        <w:rPr>
          <w:rFonts w:cs="Times New Roman"/>
          <w:lang w:eastAsia="fr-FR"/>
        </w:rPr>
        <w:t xml:space="preserve"> </w:t>
      </w:r>
      <w:r w:rsidRPr="00C763D8">
        <w:t>qualification as a self-insurer; or a guarantee from another company</w:t>
      </w:r>
      <w:r w:rsidR="00CA67E9">
        <w:t>, including ‘a leading bank’,</w:t>
      </w:r>
      <w:r w:rsidRPr="00C763D8">
        <w:t xml:space="preserve"> that qualifies </w:t>
      </w:r>
      <w:r w:rsidRPr="00C763D8">
        <w:lastRenderedPageBreak/>
        <w:t>as a self-insurer.</w:t>
      </w:r>
      <w:r w:rsidRPr="00C763D8">
        <w:rPr>
          <w:vertAlign w:val="superscript"/>
        </w:rPr>
        <w:footnoteReference w:id="51"/>
      </w:r>
      <w:r w:rsidRPr="00C763D8">
        <w:t xml:space="preserve"> </w:t>
      </w:r>
      <w:r>
        <w:t xml:space="preserve">Qualification as a self-insurer requires </w:t>
      </w:r>
      <w:r w:rsidRPr="00C763D8">
        <w:t>a credit rating of</w:t>
      </w:r>
      <w:r>
        <w:t xml:space="preserve"> ‘</w:t>
      </w:r>
      <w:r w:rsidR="008042CC">
        <w:t>...</w:t>
      </w:r>
      <w:r>
        <w:t>“A-”</w:t>
      </w:r>
      <w:r w:rsidRPr="00C763D8">
        <w:t xml:space="preserve"> or higher from Standard &amp;</w:t>
      </w:r>
      <w:r>
        <w:t xml:space="preserve"> Poor’s; “A-” or higher from A. M. Bes</w:t>
      </w:r>
      <w:r w:rsidR="008042CC">
        <w:t xml:space="preserve">t; “A3” or higher from Moody’s; </w:t>
      </w:r>
      <w:r>
        <w:t>“A”</w:t>
      </w:r>
      <w:r w:rsidRPr="00C763D8">
        <w:t xml:space="preserve"> or higher from Fitch; and/or the equivalent from another internationally recognised credit ratin</w:t>
      </w:r>
      <w:r>
        <w:t>g agency acceptable to...[OPOL].’</w:t>
      </w:r>
      <w:r w:rsidRPr="00C763D8">
        <w:rPr>
          <w:vertAlign w:val="superscript"/>
        </w:rPr>
        <w:footnoteReference w:id="52"/>
      </w:r>
      <w:r w:rsidRPr="00C763D8">
        <w:t xml:space="preserve"> </w:t>
      </w:r>
    </w:p>
    <w:p w:rsidR="00024A5B" w:rsidRPr="00C763D8" w:rsidRDefault="00024A5B" w:rsidP="00024A5B">
      <w:pPr>
        <w:pStyle w:val="PhDParagraph"/>
      </w:pPr>
      <w:r w:rsidRPr="00C763D8">
        <w:rPr>
          <w:rFonts w:eastAsia="Times New Roman"/>
          <w:color w:val="000000"/>
          <w:lang w:eastAsia="fr-FR"/>
        </w:rPr>
        <w:t>Further, the Petroleum Act 1998</w:t>
      </w:r>
      <w:r>
        <w:rPr>
          <w:rFonts w:eastAsia="Times New Roman"/>
          <w:color w:val="000000"/>
          <w:lang w:eastAsia="fr-FR"/>
        </w:rPr>
        <w:t xml:space="preserve"> </w:t>
      </w:r>
      <w:r w:rsidRPr="00C763D8">
        <w:rPr>
          <w:rFonts w:eastAsia="Times New Roman"/>
          <w:color w:val="000000"/>
          <w:lang w:eastAsia="fr-FR"/>
        </w:rPr>
        <w:t>requires applicants for</w:t>
      </w:r>
      <w:r w:rsidRPr="00C763D8">
        <w:t xml:space="preserve"> licences for exploration and appraisal wells on the UK continental shelf to provide evidence of financial security for plugging and abandoning them as well as harm to third parties caused by pollution.</w:t>
      </w:r>
      <w:r w:rsidRPr="00C763D8">
        <w:rPr>
          <w:vertAlign w:val="superscript"/>
        </w:rPr>
        <w:footnoteReference w:id="53"/>
      </w:r>
      <w:r w:rsidR="00DC4C6A">
        <w:t xml:space="preserve"> Acceptable mechanisms are</w:t>
      </w:r>
      <w:r>
        <w:t xml:space="preserve"> ‘</w:t>
      </w:r>
      <w:r w:rsidR="00E6013F">
        <w:t>...</w:t>
      </w:r>
      <w:r w:rsidRPr="00C763D8">
        <w:t xml:space="preserve">reliance on credit/financial strength rating of the operator or co-venturer; insurance; parent company guarantee/affiliate undertaking; and any </w:t>
      </w:r>
      <w:r>
        <w:t>combination of the above’</w:t>
      </w:r>
      <w:r w:rsidRPr="00C763D8">
        <w:t>.</w:t>
      </w:r>
      <w:r w:rsidRPr="00C763D8">
        <w:rPr>
          <w:vertAlign w:val="superscript"/>
        </w:rPr>
        <w:footnoteReference w:id="54"/>
      </w:r>
      <w:r w:rsidRPr="00C763D8">
        <w:t xml:space="preserve"> Significantly, operators may utilise the financial security that they have been required to provide by OPOL to cover these requirements.</w:t>
      </w:r>
      <w:r w:rsidRPr="00C763D8">
        <w:rPr>
          <w:vertAlign w:val="superscript"/>
        </w:rPr>
        <w:footnoteReference w:id="55"/>
      </w:r>
      <w:r w:rsidRPr="00C763D8">
        <w:t xml:space="preserve"> </w:t>
      </w:r>
      <w:r w:rsidR="00915BBD">
        <w:t>S</w:t>
      </w:r>
      <w:r w:rsidR="00915BBD" w:rsidRPr="00915BBD">
        <w:t>elf-insurance</w:t>
      </w:r>
      <w:r w:rsidRPr="00C763D8">
        <w:t xml:space="preserve"> is, therefore, very well entrenched within the </w:t>
      </w:r>
      <w:r>
        <w:t>mechanisms</w:t>
      </w:r>
      <w:r w:rsidRPr="00C763D8">
        <w:t xml:space="preserve"> accepted </w:t>
      </w:r>
      <w:r>
        <w:t xml:space="preserve">under the </w:t>
      </w:r>
      <w:r w:rsidRPr="00624542">
        <w:t xml:space="preserve">Petroleum Act 1998 </w:t>
      </w:r>
      <w:r>
        <w:t xml:space="preserve">and those permitted by </w:t>
      </w:r>
      <w:r w:rsidRPr="00C763D8">
        <w:t>OPOL.</w:t>
      </w:r>
    </w:p>
    <w:p w:rsidR="00024A5B" w:rsidRPr="00C763D8" w:rsidRDefault="00024A5B" w:rsidP="00024A5B">
      <w:pPr>
        <w:pStyle w:val="PhDParagraph"/>
      </w:pPr>
      <w:r>
        <w:t>Decommissioning obligations are also subject to financial security requirements. T</w:t>
      </w:r>
      <w:r w:rsidRPr="00C763D8">
        <w:t>he Secretary of State may serve a notice under section 29 of the Petroleum Act 1998 on parties to a joint operating agreement, parent and other companies related to such parties, as well as former licensees, requiring them to submit a c</w:t>
      </w:r>
      <w:r>
        <w:t>osted decommissioning programme</w:t>
      </w:r>
      <w:r w:rsidRPr="00C763D8">
        <w:t>.</w:t>
      </w:r>
      <w:r w:rsidRPr="00C763D8">
        <w:rPr>
          <w:vertAlign w:val="superscript"/>
        </w:rPr>
        <w:footnoteReference w:id="56"/>
      </w:r>
      <w:r w:rsidRPr="00C763D8">
        <w:t xml:space="preserve"> Following the Secretary’s approval of the programme, </w:t>
      </w:r>
      <w:r>
        <w:t>S</w:t>
      </w:r>
      <w:r w:rsidRPr="00C763D8">
        <w:t xml:space="preserve">ection 29 notice holders are jointly and severally liable for the programme and its costs. The Secretary’s approval ring-fences </w:t>
      </w:r>
      <w:r>
        <w:t xml:space="preserve">any </w:t>
      </w:r>
      <w:r w:rsidRPr="00C763D8">
        <w:t xml:space="preserve">security </w:t>
      </w:r>
      <w:r>
        <w:t>provided for the performance of obligations under the programme</w:t>
      </w:r>
      <w:r w:rsidRPr="00C763D8">
        <w:t xml:space="preserve"> and protects </w:t>
      </w:r>
      <w:r w:rsidRPr="00C763D8">
        <w:lastRenderedPageBreak/>
        <w:t xml:space="preserve">it </w:t>
      </w:r>
      <w:r>
        <w:t>should</w:t>
      </w:r>
      <w:r w:rsidRPr="00C763D8">
        <w:t xml:space="preserve"> a section 29 notice holder becomes insolvent.</w:t>
      </w:r>
      <w:r w:rsidRPr="00C763D8">
        <w:rPr>
          <w:vertAlign w:val="superscript"/>
        </w:rPr>
        <w:footnoteReference w:id="57"/>
      </w:r>
      <w:r w:rsidRPr="00C763D8">
        <w:t xml:space="preserve"> </w:t>
      </w:r>
      <w:r>
        <w:t xml:space="preserve">The effect of any legislation, such as the IA 1986, which would </w:t>
      </w:r>
      <w:r w:rsidRPr="0081273A">
        <w:t xml:space="preserve">prevent or restrict the protected assets from being applied </w:t>
      </w:r>
      <w:r>
        <w:t xml:space="preserve">to meet the obligations under the </w:t>
      </w:r>
      <w:proofErr w:type="gramStart"/>
      <w:r>
        <w:t>programme</w:t>
      </w:r>
      <w:proofErr w:type="gramEnd"/>
      <w:r>
        <w:t xml:space="preserve"> is explicitly excluded.</w:t>
      </w:r>
      <w:r w:rsidRPr="00C763D8">
        <w:rPr>
          <w:vertAlign w:val="superscript"/>
        </w:rPr>
        <w:footnoteReference w:id="58"/>
      </w:r>
      <w:r>
        <w:t xml:space="preserve"> This provision mitigates some of the problems raised in </w:t>
      </w:r>
      <w:r w:rsidR="00CF509A">
        <w:t>S</w:t>
      </w:r>
      <w:r>
        <w:t xml:space="preserve">ection </w:t>
      </w:r>
      <w:r w:rsidR="00CF509A">
        <w:t>C</w:t>
      </w:r>
      <w:r>
        <w:t>. It is, however, important to stress that security must have ‘</w:t>
      </w:r>
      <w:r w:rsidR="00CF509A">
        <w:t>been provided</w:t>
      </w:r>
      <w:r>
        <w:t>’ in order for the protection to arise.</w:t>
      </w:r>
      <w:r w:rsidRPr="00C763D8">
        <w:rPr>
          <w:vertAlign w:val="superscript"/>
        </w:rPr>
        <w:footnoteReference w:id="59"/>
      </w:r>
      <w:r>
        <w:t xml:space="preserve"> The Petroleum Act 1998 defines the term ‘security’ to include </w:t>
      </w:r>
      <w:r w:rsidRPr="00586A28">
        <w:t>a charge over a b</w:t>
      </w:r>
      <w:r>
        <w:t xml:space="preserve">ank account or other asset, </w:t>
      </w:r>
      <w:r w:rsidRPr="00586A28">
        <w:t xml:space="preserve">a </w:t>
      </w:r>
      <w:r>
        <w:t>cash</w:t>
      </w:r>
      <w:r w:rsidRPr="00586A28">
        <w:t xml:space="preserve"> </w:t>
      </w:r>
      <w:r>
        <w:t xml:space="preserve">deposit, </w:t>
      </w:r>
      <w:r w:rsidRPr="00586A28">
        <w:t>a performance bond or guarantee</w:t>
      </w:r>
      <w:r>
        <w:t>, an insurance policy and a letter of credit.</w:t>
      </w:r>
      <w:r w:rsidRPr="00C763D8">
        <w:rPr>
          <w:vertAlign w:val="superscript"/>
        </w:rPr>
        <w:footnoteReference w:id="60"/>
      </w:r>
      <w:r>
        <w:t xml:space="preserve"> Significantly, these types of security are unlikely to have been given where </w:t>
      </w:r>
      <w:r w:rsidR="00915BBD" w:rsidRPr="00915BBD">
        <w:t>self-insurance</w:t>
      </w:r>
      <w:r>
        <w:t xml:space="preserve"> has been permitted, and so the provision </w:t>
      </w:r>
      <w:r w:rsidR="00E81C77">
        <w:t>is likely to</w:t>
      </w:r>
      <w:r>
        <w:t xml:space="preserve"> be of little benefit in many circumstances where </w:t>
      </w:r>
      <w:r w:rsidR="00915BBD" w:rsidRPr="00915BBD">
        <w:t xml:space="preserve">self-insurance </w:t>
      </w:r>
      <w:r>
        <w:t xml:space="preserve">mechanisms are used. </w:t>
      </w:r>
    </w:p>
    <w:p w:rsidR="00024A5B" w:rsidRPr="00C763D8" w:rsidRDefault="00024A5B" w:rsidP="00024A5B">
      <w:pPr>
        <w:pStyle w:val="PhDParagraph"/>
      </w:pPr>
      <w:r w:rsidRPr="00C763D8">
        <w:t>Financial securit</w:t>
      </w:r>
      <w:r>
        <w:t xml:space="preserve">y instruments acceptable to </w:t>
      </w:r>
      <w:r w:rsidRPr="00C763D8">
        <w:t xml:space="preserve">DECC are cash, irrevocable standby letters of credit issued by a </w:t>
      </w:r>
      <w:r>
        <w:t>Prime B</w:t>
      </w:r>
      <w:r w:rsidRPr="00C763D8">
        <w:t>ank, and on-demand performance bonds issued by a bank or insurer provided they are established in an EU or OECD country with a UK lending or insurance office that meets specified ratings.</w:t>
      </w:r>
      <w:r w:rsidRPr="00C763D8">
        <w:rPr>
          <w:vertAlign w:val="superscript"/>
        </w:rPr>
        <w:footnoteReference w:id="61"/>
      </w:r>
      <w:r w:rsidRPr="00C763D8">
        <w:t xml:space="preserve"> DECC also accepts </w:t>
      </w:r>
      <w:r w:rsidR="00E20504" w:rsidRPr="00E20504">
        <w:t xml:space="preserve">self-insurance </w:t>
      </w:r>
      <w:r w:rsidRPr="00C763D8">
        <w:t xml:space="preserve">by a </w:t>
      </w:r>
      <w:r w:rsidRPr="00C763D8">
        <w:lastRenderedPageBreak/>
        <w:t>company provided that it requires less than 30% of its net worth to carry out decommissioning obligations for the project and other projects on the UK continental shelf.</w:t>
      </w:r>
      <w:r w:rsidRPr="00C763D8">
        <w:rPr>
          <w:vertAlign w:val="superscript"/>
        </w:rPr>
        <w:footnoteReference w:id="62"/>
      </w:r>
      <w:r w:rsidRPr="00C763D8">
        <w:t xml:space="preserve"> DECC does not accept a parent company guarantee on its own as financial security due, in large part, to the potential for the parent to be based outside the UK.</w:t>
      </w:r>
      <w:r w:rsidRPr="00C763D8">
        <w:rPr>
          <w:vertAlign w:val="superscript"/>
        </w:rPr>
        <w:footnoteReference w:id="63"/>
      </w:r>
      <w:r w:rsidRPr="00C763D8">
        <w:t xml:space="preserve"> It does, however, require such a guarantee as evidence of financial capability for decommissioning if a licensee depends on the financial support of its parent.</w:t>
      </w:r>
      <w:r w:rsidRPr="00C763D8">
        <w:rPr>
          <w:vertAlign w:val="superscript"/>
        </w:rPr>
        <w:footnoteReference w:id="64"/>
      </w:r>
      <w:r w:rsidRPr="00C763D8">
        <w:t xml:space="preserve"> </w:t>
      </w:r>
    </w:p>
    <w:p w:rsidR="00024A5B" w:rsidRPr="00C763D8" w:rsidRDefault="00024A5B" w:rsidP="00024A5B">
      <w:pPr>
        <w:pStyle w:val="PhDParagraph"/>
      </w:pPr>
      <w:r w:rsidRPr="00C763D8">
        <w:t>Financial security is also required for decommissioning offshore wind and marine energy installations.</w:t>
      </w:r>
      <w:r w:rsidRPr="00C763D8">
        <w:rPr>
          <w:vertAlign w:val="superscript"/>
        </w:rPr>
        <w:footnoteReference w:id="65"/>
      </w:r>
      <w:r w:rsidRPr="00C763D8">
        <w:t xml:space="preserve"> DECC considers that the following are acceptable instrume</w:t>
      </w:r>
      <w:r w:rsidR="00E81C77">
        <w:t>nts:</w:t>
      </w:r>
      <w:r w:rsidRPr="00C763D8">
        <w:t xml:space="preserve"> cash, irrevocable letters of credit, bonds issued by a Prime Ba</w:t>
      </w:r>
      <w:r w:rsidR="00E81C77">
        <w:t>nk or an insurance company, a</w:t>
      </w:r>
      <w:r>
        <w:t xml:space="preserve"> ‘</w:t>
      </w:r>
      <w:r w:rsidRPr="00C763D8">
        <w:t>...secure, seg</w:t>
      </w:r>
      <w:r>
        <w:t>regated decommissioning fund...’</w:t>
      </w:r>
      <w:r w:rsidRPr="00C763D8">
        <w:t xml:space="preserve"> that accrues in the early or mid-stages of an installation,</w:t>
      </w:r>
      <w:r w:rsidRPr="00C763D8">
        <w:rPr>
          <w:vertAlign w:val="superscript"/>
        </w:rPr>
        <w:footnoteReference w:id="66"/>
      </w:r>
      <w:r w:rsidRPr="00C763D8">
        <w:t xml:space="preserve"> and a joint trust agreement.</w:t>
      </w:r>
      <w:r w:rsidRPr="00C763D8">
        <w:rPr>
          <w:vertAlign w:val="superscript"/>
        </w:rPr>
        <w:footnoteReference w:id="67"/>
      </w:r>
      <w:r w:rsidRPr="00C763D8">
        <w:t xml:space="preserve"> The assets forming the financial security are ring-fenced</w:t>
      </w:r>
      <w:r w:rsidRPr="00C763D8">
        <w:rPr>
          <w:vertAlign w:val="superscript"/>
        </w:rPr>
        <w:footnoteReference w:id="68"/>
      </w:r>
      <w:r>
        <w:t xml:space="preserve"> because, as stated by DECC, ‘</w:t>
      </w:r>
      <w:r w:rsidRPr="00C763D8">
        <w:t>[t]he Government will wish to be assured that such funds will be available to...[the UK Government]...in the event of insolvency’.</w:t>
      </w:r>
      <w:r w:rsidRPr="00C763D8">
        <w:rPr>
          <w:vertAlign w:val="superscript"/>
        </w:rPr>
        <w:footnoteReference w:id="69"/>
      </w:r>
      <w:r w:rsidRPr="00C763D8">
        <w:t xml:space="preserve"> Parent company guarantees and decommissioning funds that accrue in the late stages of an installation are not acceptable.</w:t>
      </w:r>
      <w:r w:rsidRPr="00C763D8">
        <w:rPr>
          <w:vertAlign w:val="superscript"/>
        </w:rPr>
        <w:footnoteReference w:id="70"/>
      </w:r>
      <w:r w:rsidRPr="00C763D8">
        <w:t xml:space="preserve"> </w:t>
      </w:r>
    </w:p>
    <w:p w:rsidR="00D12351" w:rsidRPr="00024A5B" w:rsidRDefault="00D12351" w:rsidP="00024A5B">
      <w:pPr>
        <w:pStyle w:val="PhDParagraphnoIdent"/>
      </w:pPr>
    </w:p>
    <w:p w:rsidR="007A3150" w:rsidRDefault="00C9715D" w:rsidP="00C9715D">
      <w:pPr>
        <w:pStyle w:val="Heading1"/>
        <w:numPr>
          <w:ilvl w:val="0"/>
          <w:numId w:val="0"/>
        </w:numPr>
        <w:ind w:left="709" w:hanging="709"/>
      </w:pPr>
      <w:bookmarkStart w:id="2" w:name="_Ref401604458"/>
      <w:r>
        <w:lastRenderedPageBreak/>
        <w:t xml:space="preserve">C.  THE REMEDIAL CAPACITY OF </w:t>
      </w:r>
      <w:bookmarkEnd w:id="1"/>
      <w:bookmarkEnd w:id="2"/>
      <w:r w:rsidR="00E20504">
        <w:t>SELF-</w:t>
      </w:r>
      <w:r w:rsidR="00E20504" w:rsidRPr="00915BBD">
        <w:t>INSURANCE</w:t>
      </w:r>
    </w:p>
    <w:p w:rsidR="002E6A74" w:rsidRDefault="002E6A74" w:rsidP="00931D34">
      <w:pPr>
        <w:pStyle w:val="PhDParagraph"/>
        <w:ind w:firstLine="0"/>
      </w:pPr>
    </w:p>
    <w:p w:rsidR="001B6E47" w:rsidRDefault="00480895" w:rsidP="007165EB">
      <w:pPr>
        <w:pStyle w:val="PhDParagraph"/>
        <w:ind w:firstLine="0"/>
      </w:pPr>
      <w:r w:rsidRPr="00FB4693">
        <w:t xml:space="preserve">Having considered the </w:t>
      </w:r>
      <w:r w:rsidR="00800D0C" w:rsidRPr="00FB4693">
        <w:t xml:space="preserve">regulatory </w:t>
      </w:r>
      <w:r w:rsidR="00250097" w:rsidRPr="00FB4693">
        <w:t>acceptance of</w:t>
      </w:r>
      <w:r w:rsidRPr="00FB4693">
        <w:t xml:space="preserve"> </w:t>
      </w:r>
      <w:r w:rsidR="00E20504" w:rsidRPr="00E20504">
        <w:t xml:space="preserve">self-insurance </w:t>
      </w:r>
      <w:r w:rsidRPr="00FB4693">
        <w:t>with</w:t>
      </w:r>
      <w:r w:rsidR="00800D0C" w:rsidRPr="00FB4693">
        <w:t>in</w:t>
      </w:r>
      <w:r w:rsidRPr="00FB4693">
        <w:t xml:space="preserve"> UK environmental</w:t>
      </w:r>
      <w:r>
        <w:t xml:space="preserve"> law, this section will consider </w:t>
      </w:r>
      <w:r w:rsidR="00356749">
        <w:t>the measure</w:t>
      </w:r>
      <w:r w:rsidR="002C2B4B">
        <w:t>’</w:t>
      </w:r>
      <w:r w:rsidR="00356749">
        <w:t>s</w:t>
      </w:r>
      <w:r>
        <w:t xml:space="preserve"> remedial capacity. </w:t>
      </w:r>
      <w:r w:rsidR="002C2B4B">
        <w:t xml:space="preserve">This is dictated by two </w:t>
      </w:r>
      <w:r w:rsidR="002C2B4B" w:rsidRPr="002C2B4B">
        <w:t>factors</w:t>
      </w:r>
      <w:r w:rsidR="00A74263" w:rsidRPr="002C2B4B">
        <w:t xml:space="preserve">. Firstly, the extent to which </w:t>
      </w:r>
      <w:r w:rsidR="00C820E4" w:rsidRPr="002C2B4B">
        <w:t xml:space="preserve">the </w:t>
      </w:r>
      <w:r w:rsidR="00310518" w:rsidRPr="002C2B4B">
        <w:t>means of</w:t>
      </w:r>
      <w:r w:rsidR="00C820E4" w:rsidRPr="002C2B4B">
        <w:t xml:space="preserve"> </w:t>
      </w:r>
      <w:r w:rsidR="00E20504">
        <w:t>evidencing</w:t>
      </w:r>
      <w:r w:rsidR="00F4538F" w:rsidRPr="002C2B4B">
        <w:t xml:space="preserve"> financial strength</w:t>
      </w:r>
      <w:r w:rsidR="001332EF" w:rsidRPr="002C2B4B">
        <w:t>, health or capability</w:t>
      </w:r>
      <w:r w:rsidR="00FB4693">
        <w:t xml:space="preserve"> (e</w:t>
      </w:r>
      <w:r w:rsidR="00BC23C6">
        <w:t>.</w:t>
      </w:r>
      <w:r w:rsidR="00FB4693">
        <w:t>g</w:t>
      </w:r>
      <w:r w:rsidR="00BC23C6">
        <w:t>.</w:t>
      </w:r>
      <w:r w:rsidR="00F4538F" w:rsidRPr="002C2B4B">
        <w:t xml:space="preserve"> the particular financial ratios utilised), and </w:t>
      </w:r>
      <w:r w:rsidR="000B1FA3" w:rsidRPr="002C2B4B">
        <w:t xml:space="preserve">any conditions placed on </w:t>
      </w:r>
      <w:r w:rsidR="002C2B4B" w:rsidRPr="002C2B4B">
        <w:t>their satisfaction</w:t>
      </w:r>
      <w:r w:rsidR="00FB4693">
        <w:t xml:space="preserve"> (e</w:t>
      </w:r>
      <w:r w:rsidR="00BC23C6">
        <w:t>.</w:t>
      </w:r>
      <w:r w:rsidR="00FB4693">
        <w:t>g</w:t>
      </w:r>
      <w:r w:rsidR="00BC23C6">
        <w:t>.</w:t>
      </w:r>
      <w:r w:rsidR="00F4538F" w:rsidRPr="002C2B4B">
        <w:t xml:space="preserve"> a certain level of </w:t>
      </w:r>
      <w:r w:rsidR="00962AA3">
        <w:t xml:space="preserve">real </w:t>
      </w:r>
      <w:r w:rsidR="00F4538F" w:rsidRPr="002C2B4B">
        <w:t xml:space="preserve">property being held within the jurisdiction) </w:t>
      </w:r>
      <w:r w:rsidR="00A74263" w:rsidRPr="002C2B4B">
        <w:t>can ensure that the operator holds, or has access to, adequate</w:t>
      </w:r>
      <w:r w:rsidR="00F4538F" w:rsidRPr="002C2B4B">
        <w:t xml:space="preserve"> assets and/or</w:t>
      </w:r>
      <w:r w:rsidR="005D79C4" w:rsidRPr="002C2B4B">
        <w:t xml:space="preserve"> funds</w:t>
      </w:r>
      <w:r w:rsidR="00A74263" w:rsidRPr="002C2B4B">
        <w:t xml:space="preserve"> to meet its environmental liabilities. </w:t>
      </w:r>
      <w:r w:rsidR="000B1FA3" w:rsidRPr="002C2B4B">
        <w:t>This</w:t>
      </w:r>
      <w:r w:rsidR="00A74263" w:rsidRPr="002C2B4B">
        <w:t xml:space="preserve"> point </w:t>
      </w:r>
      <w:r w:rsidR="00C820E4" w:rsidRPr="002C2B4B">
        <w:t>may be</w:t>
      </w:r>
      <w:r w:rsidR="00C820E4">
        <w:t xml:space="preserve"> seen as</w:t>
      </w:r>
      <w:r w:rsidR="00A74263">
        <w:t xml:space="preserve"> intrinsic to </w:t>
      </w:r>
      <w:r w:rsidR="00E20504" w:rsidRPr="00E20504">
        <w:t>self-insurance</w:t>
      </w:r>
      <w:r w:rsidR="00A74263">
        <w:t xml:space="preserve">. Secondly, and perhaps uniquely to </w:t>
      </w:r>
      <w:r w:rsidR="00E20504" w:rsidRPr="00E20504">
        <w:t xml:space="preserve">self-insurance </w:t>
      </w:r>
      <w:r w:rsidR="00613AAC">
        <w:t xml:space="preserve">when </w:t>
      </w:r>
      <w:r w:rsidR="00A74263">
        <w:t>compared to measures such as insurance, bank gua</w:t>
      </w:r>
      <w:r w:rsidR="005D79C4">
        <w:t>rantees, surety bonds and</w:t>
      </w:r>
      <w:r w:rsidR="00A74263">
        <w:t xml:space="preserve"> trust funds, the </w:t>
      </w:r>
      <w:r w:rsidR="002C2B4B">
        <w:t>impact</w:t>
      </w:r>
      <w:r w:rsidR="00A74263">
        <w:t xml:space="preserve"> of the protection afforded to an insolvent operator’s creditors under</w:t>
      </w:r>
      <w:r w:rsidR="00613AAC">
        <w:t xml:space="preserve"> </w:t>
      </w:r>
      <w:r w:rsidR="00A74263">
        <w:t>insolvency law</w:t>
      </w:r>
      <w:r w:rsidR="007F1194">
        <w:t xml:space="preserve"> in England and Wales</w:t>
      </w:r>
      <w:r w:rsidR="001A1F38">
        <w:t>, specifically the IA</w:t>
      </w:r>
      <w:r w:rsidR="00613AAC">
        <w:t xml:space="preserve"> 1986 and the Insolvency Rules 1986</w:t>
      </w:r>
      <w:r w:rsidR="001A1F38">
        <w:t xml:space="preserve"> (IR 1986)</w:t>
      </w:r>
      <w:r w:rsidR="00A74263">
        <w:t xml:space="preserve">. This factor, </w:t>
      </w:r>
      <w:r w:rsidR="00FB4693">
        <w:t xml:space="preserve">which </w:t>
      </w:r>
      <w:r w:rsidR="00A74263">
        <w:t>play</w:t>
      </w:r>
      <w:r w:rsidR="008A2CB2">
        <w:t>s</w:t>
      </w:r>
      <w:r w:rsidR="00A74263">
        <w:t xml:space="preserve"> </w:t>
      </w:r>
      <w:r w:rsidR="00FB4693">
        <w:t>an influential</w:t>
      </w:r>
      <w:r w:rsidR="00A74263">
        <w:t xml:space="preserve"> role in determining the amount reco</w:t>
      </w:r>
      <w:r w:rsidR="00FB35F4">
        <w:t>vered</w:t>
      </w:r>
      <w:r w:rsidR="00A74263">
        <w:t xml:space="preserve"> by </w:t>
      </w:r>
      <w:r w:rsidR="00FB35F4">
        <w:t xml:space="preserve">a </w:t>
      </w:r>
      <w:r w:rsidR="00A74263">
        <w:t>regulator</w:t>
      </w:r>
      <w:r w:rsidR="002E564B">
        <w:t xml:space="preserve"> for </w:t>
      </w:r>
      <w:r w:rsidR="00613AAC">
        <w:t xml:space="preserve">any </w:t>
      </w:r>
      <w:r w:rsidR="00C820E4">
        <w:t>requisite</w:t>
      </w:r>
      <w:r w:rsidR="002E564B">
        <w:t xml:space="preserve"> works</w:t>
      </w:r>
      <w:r w:rsidR="00C820E4">
        <w:t>, may be seen as</w:t>
      </w:r>
      <w:r w:rsidR="00A74263">
        <w:t xml:space="preserve"> </w:t>
      </w:r>
      <w:r w:rsidR="005D79C4">
        <w:t>ex</w:t>
      </w:r>
      <w:r w:rsidR="00A74263">
        <w:t xml:space="preserve">trinsic to </w:t>
      </w:r>
      <w:r w:rsidR="00E20504" w:rsidRPr="00E20504">
        <w:t>self-insurance</w:t>
      </w:r>
      <w:r w:rsidR="00A74263">
        <w:t>. Intrinsic factors, however, substantially influence this factor</w:t>
      </w:r>
      <w:r w:rsidR="00F4538F">
        <w:t xml:space="preserve"> in that they</w:t>
      </w:r>
      <w:r w:rsidR="00A74263">
        <w:t xml:space="preserve"> render it more probable that the protection afforded to </w:t>
      </w:r>
      <w:r w:rsidR="00FB35F4">
        <w:t>an insolvent</w:t>
      </w:r>
      <w:r w:rsidR="00A74263">
        <w:t xml:space="preserve"> operator’s creditors will hinder cost recovery by a regulator.</w:t>
      </w:r>
      <w:r w:rsidR="00FB35F4">
        <w:t xml:space="preserve"> </w:t>
      </w:r>
      <w:r w:rsidR="00300584" w:rsidRPr="00412447">
        <w:t xml:space="preserve"> </w:t>
      </w:r>
    </w:p>
    <w:p w:rsidR="007165EB" w:rsidRPr="007165EB" w:rsidRDefault="007165EB" w:rsidP="007165EB">
      <w:pPr>
        <w:pStyle w:val="PhDParagraph"/>
      </w:pPr>
    </w:p>
    <w:p w:rsidR="00154A87" w:rsidRPr="00C9715D" w:rsidRDefault="00C9715D" w:rsidP="00C9715D">
      <w:pPr>
        <w:pStyle w:val="Heading2"/>
      </w:pPr>
      <w:bookmarkStart w:id="3" w:name="_Ref432766330"/>
      <w:r w:rsidRPr="00C9715D">
        <w:t xml:space="preserve">1.  </w:t>
      </w:r>
      <w:r w:rsidR="00C241E4" w:rsidRPr="00C9715D">
        <w:t>Existence</w:t>
      </w:r>
      <w:r w:rsidR="00154A87" w:rsidRPr="00C9715D">
        <w:t xml:space="preserve"> of </w:t>
      </w:r>
      <w:r w:rsidR="00BF7CB5">
        <w:t>S</w:t>
      </w:r>
      <w:r w:rsidR="00154A87" w:rsidRPr="00C9715D">
        <w:t xml:space="preserve">ufficient </w:t>
      </w:r>
      <w:r w:rsidR="00BF7CB5">
        <w:t>A</w:t>
      </w:r>
      <w:r w:rsidR="00154A87" w:rsidRPr="00C9715D">
        <w:t>ssets</w:t>
      </w:r>
      <w:r w:rsidR="00514509" w:rsidRPr="00C9715D">
        <w:t xml:space="preserve"> and/or </w:t>
      </w:r>
      <w:r w:rsidR="00BF7CB5">
        <w:t>F</w:t>
      </w:r>
      <w:r w:rsidR="00514509" w:rsidRPr="00C9715D">
        <w:t>unds</w:t>
      </w:r>
      <w:bookmarkEnd w:id="3"/>
    </w:p>
    <w:p w:rsidR="007F49DE" w:rsidRDefault="007F49DE" w:rsidP="007165EB">
      <w:pPr>
        <w:pStyle w:val="PhDParagraph"/>
      </w:pPr>
    </w:p>
    <w:p w:rsidR="007F49DE" w:rsidRPr="00790C38" w:rsidRDefault="00E25DFF" w:rsidP="007F49DE">
      <w:pPr>
        <w:pStyle w:val="PhDParagraphnoIdent"/>
        <w:rPr>
          <w:rFonts w:cs="Arial"/>
        </w:rPr>
      </w:pPr>
      <w:r w:rsidRPr="00631E08">
        <w:t xml:space="preserve">Where a surplus exists between the funds available to </w:t>
      </w:r>
      <w:r>
        <w:t>an</w:t>
      </w:r>
      <w:r w:rsidRPr="00631E08">
        <w:t xml:space="preserve"> operator and the environmental </w:t>
      </w:r>
      <w:r>
        <w:t>liability to which it is exposed</w:t>
      </w:r>
      <w:r w:rsidRPr="00631E08">
        <w:t xml:space="preserve">, </w:t>
      </w:r>
      <w:r w:rsidRPr="00BD49E9">
        <w:t xml:space="preserve">self-insurance </w:t>
      </w:r>
      <w:r>
        <w:t xml:space="preserve">enables the </w:t>
      </w:r>
      <w:r w:rsidRPr="00631E08">
        <w:t xml:space="preserve">operator </w:t>
      </w:r>
      <w:r>
        <w:t>to</w:t>
      </w:r>
      <w:r w:rsidRPr="00631E08">
        <w:t xml:space="preserve"> meet its environmental </w:t>
      </w:r>
      <w:r>
        <w:t>liabilities in full</w:t>
      </w:r>
      <w:r w:rsidRPr="00631E08">
        <w:t xml:space="preserve">. </w:t>
      </w:r>
      <w:r w:rsidRPr="00790C38">
        <w:t>In these circumstances, self-insurance would exhi</w:t>
      </w:r>
      <w:r w:rsidR="00F5495E" w:rsidRPr="00790C38">
        <w:t xml:space="preserve">bit a strong remedial capacity. </w:t>
      </w:r>
      <w:r w:rsidR="007F49DE" w:rsidRPr="00790C38">
        <w:rPr>
          <w:rFonts w:cs="Arial"/>
        </w:rPr>
        <w:t xml:space="preserve">Moreover, where the operator’s assets are sufficient to cover expected losses, </w:t>
      </w:r>
      <w:r w:rsidR="007F49DE" w:rsidRPr="00790C38">
        <w:rPr>
          <w:rFonts w:cs="Arial"/>
        </w:rPr>
        <w:lastRenderedPageBreak/>
        <w:t xml:space="preserve">there will be a strong economic incentive for it to develop practices and procedures with the aim of reducing the probability that its activities </w:t>
      </w:r>
      <w:r w:rsidR="00790C38" w:rsidRPr="00790C38">
        <w:rPr>
          <w:rFonts w:cs="Arial"/>
        </w:rPr>
        <w:t>m</w:t>
      </w:r>
      <w:r w:rsidR="00D164BF" w:rsidRPr="00790C38">
        <w:rPr>
          <w:rFonts w:cs="Arial"/>
        </w:rPr>
        <w:t>ay</w:t>
      </w:r>
      <w:r w:rsidR="007F49DE" w:rsidRPr="00790C38">
        <w:rPr>
          <w:rFonts w:cs="Arial"/>
        </w:rPr>
        <w:t xml:space="preserve"> cause an environmental accident.</w:t>
      </w:r>
      <w:r w:rsidR="007F49DE" w:rsidRPr="00790C38">
        <w:rPr>
          <w:rStyle w:val="FootnoteReference"/>
          <w:rFonts w:cs="Arial"/>
        </w:rPr>
        <w:footnoteReference w:id="71"/>
      </w:r>
      <w:r w:rsidR="007F49DE" w:rsidRPr="00790C38">
        <w:rPr>
          <w:rFonts w:cs="Arial"/>
        </w:rPr>
        <w:t xml:space="preserve"> </w:t>
      </w:r>
    </w:p>
    <w:p w:rsidR="00F5495E" w:rsidRPr="00790C38" w:rsidRDefault="00F5495E" w:rsidP="007F49DE">
      <w:pPr>
        <w:pStyle w:val="PhDParagraphnoIdent"/>
        <w:ind w:firstLine="720"/>
      </w:pPr>
      <w:r w:rsidRPr="00790C38">
        <w:t>There</w:t>
      </w:r>
      <w:r w:rsidR="000E0C64" w:rsidRPr="00790C38">
        <w:t xml:space="preserve"> </w:t>
      </w:r>
      <w:r w:rsidR="00FF5059" w:rsidRPr="00790C38">
        <w:t>are</w:t>
      </w:r>
      <w:r w:rsidRPr="00790C38">
        <w:t xml:space="preserve"> other</w:t>
      </w:r>
      <w:r w:rsidR="00FF5059" w:rsidRPr="00790C38">
        <w:t xml:space="preserve"> </w:t>
      </w:r>
      <w:r w:rsidRPr="00790C38">
        <w:t xml:space="preserve">clear benefits </w:t>
      </w:r>
      <w:r w:rsidR="000E0C64" w:rsidRPr="00790C38">
        <w:t>associated with self-insurance. Firstly, it requires</w:t>
      </w:r>
      <w:r w:rsidR="000E0C64" w:rsidRPr="00790C38">
        <w:rPr>
          <w:rFonts w:cs="Arial"/>
        </w:rPr>
        <w:t xml:space="preserve"> </w:t>
      </w:r>
      <w:r w:rsidR="00D164BF" w:rsidRPr="00790C38">
        <w:rPr>
          <w:rFonts w:cs="Arial"/>
        </w:rPr>
        <w:t xml:space="preserve">an </w:t>
      </w:r>
      <w:r w:rsidR="000E0C64" w:rsidRPr="00790C38">
        <w:rPr>
          <w:rFonts w:cs="Arial"/>
        </w:rPr>
        <w:t xml:space="preserve">operator, and potentially </w:t>
      </w:r>
      <w:r w:rsidR="00D164BF" w:rsidRPr="00790C38">
        <w:rPr>
          <w:rFonts w:cs="Arial"/>
        </w:rPr>
        <w:t>its</w:t>
      </w:r>
      <w:r w:rsidR="000E0C64" w:rsidRPr="00790C38">
        <w:rPr>
          <w:rFonts w:cs="Arial"/>
        </w:rPr>
        <w:t xml:space="preserve"> parent, to demonstrate a </w:t>
      </w:r>
      <w:r w:rsidRPr="00790C38">
        <w:rPr>
          <w:rFonts w:cs="Arial"/>
        </w:rPr>
        <w:t>degree</w:t>
      </w:r>
      <w:r w:rsidR="000E0C64" w:rsidRPr="00790C38">
        <w:rPr>
          <w:rFonts w:cs="Arial"/>
        </w:rPr>
        <w:t xml:space="preserve"> of financial </w:t>
      </w:r>
      <w:r w:rsidRPr="00790C38">
        <w:rPr>
          <w:rFonts w:cs="Arial"/>
        </w:rPr>
        <w:t xml:space="preserve">strength </w:t>
      </w:r>
      <w:r w:rsidR="00376B03" w:rsidRPr="00790C38">
        <w:rPr>
          <w:rFonts w:cs="Arial"/>
        </w:rPr>
        <w:t xml:space="preserve">both prior to and during the period in which </w:t>
      </w:r>
      <w:r w:rsidR="00D164BF" w:rsidRPr="00790C38">
        <w:rPr>
          <w:rFonts w:cs="Arial"/>
        </w:rPr>
        <w:t>it</w:t>
      </w:r>
      <w:r w:rsidR="00376B03" w:rsidRPr="00790C38">
        <w:rPr>
          <w:rFonts w:cs="Arial"/>
        </w:rPr>
        <w:t xml:space="preserve"> undertake</w:t>
      </w:r>
      <w:r w:rsidR="00D164BF" w:rsidRPr="00790C38">
        <w:rPr>
          <w:rFonts w:cs="Arial"/>
        </w:rPr>
        <w:t>s</w:t>
      </w:r>
      <w:r w:rsidR="00376B03" w:rsidRPr="00790C38">
        <w:rPr>
          <w:rFonts w:cs="Arial"/>
        </w:rPr>
        <w:t xml:space="preserve"> an environmentally dangerous activity</w:t>
      </w:r>
      <w:r w:rsidR="000E0C64" w:rsidRPr="00790C38">
        <w:rPr>
          <w:rFonts w:cs="Arial"/>
        </w:rPr>
        <w:t xml:space="preserve">. </w:t>
      </w:r>
      <w:r w:rsidR="007F49DE" w:rsidRPr="00790C38">
        <w:rPr>
          <w:rFonts w:cs="Arial"/>
        </w:rPr>
        <w:t>The</w:t>
      </w:r>
      <w:r w:rsidRPr="00790C38">
        <w:rPr>
          <w:rFonts w:cs="Arial"/>
        </w:rPr>
        <w:t xml:space="preserve"> ‘threshold’ </w:t>
      </w:r>
      <w:r w:rsidR="007F49DE" w:rsidRPr="00790C38">
        <w:rPr>
          <w:rFonts w:cs="Arial"/>
        </w:rPr>
        <w:t xml:space="preserve">set by the financial test </w:t>
      </w:r>
      <w:r w:rsidR="000D0553" w:rsidRPr="00790C38">
        <w:rPr>
          <w:rFonts w:cs="Arial"/>
        </w:rPr>
        <w:t xml:space="preserve">prevents nominally capitalised, financially unstable operators from </w:t>
      </w:r>
      <w:r w:rsidR="007F49DE" w:rsidRPr="00790C38">
        <w:rPr>
          <w:rFonts w:cs="Arial"/>
        </w:rPr>
        <w:t>entering the market</w:t>
      </w:r>
      <w:r w:rsidR="000D0553" w:rsidRPr="00790C38">
        <w:rPr>
          <w:rFonts w:cs="Arial"/>
        </w:rPr>
        <w:t>.</w:t>
      </w:r>
      <w:r w:rsidR="000D0553" w:rsidRPr="00790C38">
        <w:rPr>
          <w:rFonts w:cs="Arial"/>
          <w:vertAlign w:val="superscript"/>
        </w:rPr>
        <w:footnoteReference w:id="72"/>
      </w:r>
      <w:r w:rsidR="000D0553" w:rsidRPr="00790C38">
        <w:rPr>
          <w:rFonts w:cs="Arial"/>
        </w:rPr>
        <w:t xml:space="preserve"> </w:t>
      </w:r>
      <w:r w:rsidR="006672FE" w:rsidRPr="00790C38">
        <w:rPr>
          <w:rFonts w:cs="Arial"/>
        </w:rPr>
        <w:t>Such</w:t>
      </w:r>
      <w:r w:rsidR="000D0553" w:rsidRPr="00790C38">
        <w:rPr>
          <w:rFonts w:cs="Arial"/>
        </w:rPr>
        <w:t xml:space="preserve"> operators </w:t>
      </w:r>
      <w:r w:rsidR="00FF5059" w:rsidRPr="00790C38">
        <w:rPr>
          <w:rFonts w:cs="Arial"/>
        </w:rPr>
        <w:t>may be considered</w:t>
      </w:r>
      <w:r w:rsidR="006672FE" w:rsidRPr="00790C38">
        <w:rPr>
          <w:rFonts w:cs="Arial"/>
        </w:rPr>
        <w:t xml:space="preserve"> particularly</w:t>
      </w:r>
      <w:r w:rsidR="000D0553" w:rsidRPr="00790C38">
        <w:rPr>
          <w:rFonts w:cs="Arial"/>
        </w:rPr>
        <w:t xml:space="preserve"> likely to pose an environmental risk</w:t>
      </w:r>
      <w:r w:rsidR="006672FE" w:rsidRPr="00790C38">
        <w:rPr>
          <w:rFonts w:cs="Arial"/>
        </w:rPr>
        <w:t>.</w:t>
      </w:r>
      <w:r w:rsidR="000D0553" w:rsidRPr="00790C38">
        <w:rPr>
          <w:rFonts w:cs="Arial"/>
        </w:rPr>
        <w:t xml:space="preserve"> </w:t>
      </w:r>
      <w:r w:rsidR="006672FE" w:rsidRPr="00790C38">
        <w:rPr>
          <w:rFonts w:cs="Arial"/>
        </w:rPr>
        <w:t>The combination of low asset levels with the protection afforded by limited liability means that shareholders</w:t>
      </w:r>
      <w:r w:rsidR="000D0553" w:rsidRPr="00790C38">
        <w:rPr>
          <w:rFonts w:cs="Arial"/>
        </w:rPr>
        <w:t xml:space="preserve"> need not take expected harm into account when deciding whether</w:t>
      </w:r>
      <w:r w:rsidR="00442BDB" w:rsidRPr="00790C38">
        <w:rPr>
          <w:rFonts w:cs="Arial"/>
        </w:rPr>
        <w:t>, and indeed how,</w:t>
      </w:r>
      <w:r w:rsidR="000D0553" w:rsidRPr="00790C38">
        <w:rPr>
          <w:rFonts w:cs="Arial"/>
        </w:rPr>
        <w:t xml:space="preserve"> to undertake the activity.</w:t>
      </w:r>
      <w:r w:rsidR="000D0553" w:rsidRPr="00790C38">
        <w:rPr>
          <w:rFonts w:cs="Arial"/>
          <w:vertAlign w:val="superscript"/>
        </w:rPr>
        <w:footnoteReference w:id="73"/>
      </w:r>
      <w:r w:rsidR="000D0553" w:rsidRPr="00790C38">
        <w:rPr>
          <w:rFonts w:cs="Arial"/>
        </w:rPr>
        <w:t xml:space="preserve"> </w:t>
      </w:r>
    </w:p>
    <w:p w:rsidR="006548D0" w:rsidRPr="00790C38" w:rsidRDefault="000E0C64" w:rsidP="006548D0">
      <w:pPr>
        <w:pStyle w:val="PhDParagraphnoIdent"/>
        <w:ind w:firstLine="720"/>
        <w:rPr>
          <w:rFonts w:cs="Arial"/>
        </w:rPr>
      </w:pPr>
      <w:r w:rsidRPr="00790C38">
        <w:rPr>
          <w:rFonts w:cs="Arial"/>
        </w:rPr>
        <w:t xml:space="preserve">Secondly, </w:t>
      </w:r>
      <w:r w:rsidR="00A26B53" w:rsidRPr="00790C38">
        <w:rPr>
          <w:rFonts w:cs="Arial"/>
        </w:rPr>
        <w:t xml:space="preserve">where the parent provides a </w:t>
      </w:r>
      <w:r w:rsidR="006548D0" w:rsidRPr="00790C38">
        <w:rPr>
          <w:rFonts w:cs="Arial"/>
        </w:rPr>
        <w:t xml:space="preserve">guarantee </w:t>
      </w:r>
      <w:r w:rsidR="000D0553" w:rsidRPr="00790C38">
        <w:rPr>
          <w:rFonts w:cs="Arial"/>
        </w:rPr>
        <w:t xml:space="preserve">in respect of </w:t>
      </w:r>
      <w:r w:rsidR="006548D0" w:rsidRPr="00790C38">
        <w:rPr>
          <w:rFonts w:cs="Arial"/>
        </w:rPr>
        <w:t>its</w:t>
      </w:r>
      <w:r w:rsidR="000D0553" w:rsidRPr="00790C38">
        <w:rPr>
          <w:rFonts w:cs="Arial"/>
        </w:rPr>
        <w:t xml:space="preserve"> subsidiary’s environmental liabilities</w:t>
      </w:r>
      <w:r w:rsidR="00A26B53" w:rsidRPr="00790C38">
        <w:rPr>
          <w:rFonts w:cs="Arial"/>
        </w:rPr>
        <w:t xml:space="preserve"> </w:t>
      </w:r>
      <w:r w:rsidR="006D681F" w:rsidRPr="00790C38">
        <w:rPr>
          <w:rFonts w:cs="Arial"/>
        </w:rPr>
        <w:t>this creates</w:t>
      </w:r>
      <w:r w:rsidR="00A26B53" w:rsidRPr="00790C38">
        <w:rPr>
          <w:rFonts w:cs="Arial"/>
        </w:rPr>
        <w:t xml:space="preserve"> a default ‘target’ for the regulator should the </w:t>
      </w:r>
      <w:r w:rsidR="00442BDB" w:rsidRPr="00790C38">
        <w:rPr>
          <w:rFonts w:cs="Arial"/>
        </w:rPr>
        <w:t>subsidiary</w:t>
      </w:r>
      <w:r w:rsidR="00A26B53" w:rsidRPr="00790C38">
        <w:rPr>
          <w:rFonts w:cs="Arial"/>
        </w:rPr>
        <w:t xml:space="preserve"> be unable to meet </w:t>
      </w:r>
      <w:r w:rsidR="000D0553" w:rsidRPr="00790C38">
        <w:rPr>
          <w:rFonts w:cs="Arial"/>
        </w:rPr>
        <w:t>the</w:t>
      </w:r>
      <w:r w:rsidR="001B0E00" w:rsidRPr="00790C38">
        <w:rPr>
          <w:rFonts w:cs="Arial"/>
        </w:rPr>
        <w:t xml:space="preserve"> requisite costs</w:t>
      </w:r>
      <w:r w:rsidR="00A26B53" w:rsidRPr="00790C38">
        <w:rPr>
          <w:rFonts w:cs="Arial"/>
        </w:rPr>
        <w:t xml:space="preserve">. </w:t>
      </w:r>
      <w:r w:rsidR="007F49DE" w:rsidRPr="00790C38">
        <w:rPr>
          <w:rFonts w:cs="Arial"/>
        </w:rPr>
        <w:t>This</w:t>
      </w:r>
      <w:r w:rsidR="00A26B53" w:rsidRPr="00790C38">
        <w:rPr>
          <w:rFonts w:cs="Arial"/>
        </w:rPr>
        <w:t xml:space="preserve"> achieve</w:t>
      </w:r>
      <w:r w:rsidR="006548D0" w:rsidRPr="00790C38">
        <w:rPr>
          <w:rFonts w:cs="Arial"/>
        </w:rPr>
        <w:t>s</w:t>
      </w:r>
      <w:r w:rsidR="00A26B53" w:rsidRPr="00790C38">
        <w:rPr>
          <w:rFonts w:cs="Arial"/>
        </w:rPr>
        <w:t xml:space="preserve"> by contract what ‘veil piercing’ and other liability extending mechanisms (e.g. the interpretation of the relevant statutory language so as to capture the parent) seek to achieve through judicial discretion. </w:t>
      </w:r>
      <w:r w:rsidR="000D0553" w:rsidRPr="00790C38">
        <w:rPr>
          <w:rFonts w:cs="Arial"/>
        </w:rPr>
        <w:t>It may even be seen as providing a superior remed</w:t>
      </w:r>
      <w:r w:rsidR="001B0E00" w:rsidRPr="00790C38">
        <w:rPr>
          <w:rFonts w:cs="Arial"/>
        </w:rPr>
        <w:t>y</w:t>
      </w:r>
      <w:r w:rsidR="006D681F" w:rsidRPr="00790C38">
        <w:rPr>
          <w:rFonts w:cs="Arial"/>
        </w:rPr>
        <w:t xml:space="preserve"> because the ex ante demonstration of financial strength ensures a degree of </w:t>
      </w:r>
      <w:r w:rsidR="000D0553" w:rsidRPr="00790C38">
        <w:rPr>
          <w:rFonts w:cs="Arial"/>
        </w:rPr>
        <w:t xml:space="preserve">financial stability in the parent, something </w:t>
      </w:r>
      <w:r w:rsidR="006548D0" w:rsidRPr="00790C38">
        <w:rPr>
          <w:rFonts w:cs="Arial"/>
        </w:rPr>
        <w:t xml:space="preserve">that </w:t>
      </w:r>
      <w:r w:rsidR="000D0553" w:rsidRPr="00790C38">
        <w:rPr>
          <w:rFonts w:cs="Arial"/>
        </w:rPr>
        <w:t>these mechanisms cannot do</w:t>
      </w:r>
      <w:r w:rsidR="006548D0" w:rsidRPr="00790C38">
        <w:rPr>
          <w:rFonts w:cs="Arial"/>
        </w:rPr>
        <w:t xml:space="preserve"> owing to their ex post application</w:t>
      </w:r>
      <w:r w:rsidR="000D0553" w:rsidRPr="00790C38">
        <w:rPr>
          <w:rFonts w:cs="Arial"/>
        </w:rPr>
        <w:t xml:space="preserve">. </w:t>
      </w:r>
    </w:p>
    <w:p w:rsidR="000E2DA7" w:rsidRPr="00790C38" w:rsidRDefault="000E2DA7" w:rsidP="000E2DA7">
      <w:pPr>
        <w:pStyle w:val="PhDParagraphnoIdent"/>
        <w:ind w:firstLine="709"/>
      </w:pPr>
      <w:r w:rsidRPr="0020731D">
        <w:rPr>
          <w:rFonts w:cs="Arial"/>
        </w:rPr>
        <w:t xml:space="preserve">Thirdly, </w:t>
      </w:r>
      <w:r w:rsidRPr="0020731D">
        <w:t>parties that self-insure do not have to incur the direct and indirect costs</w:t>
      </w:r>
      <w:r w:rsidRPr="00790C38">
        <w:t xml:space="preserve"> typically associated with purchased financial security </w:t>
      </w:r>
      <w:r w:rsidR="00D524DC" w:rsidRPr="00790C38">
        <w:t>instruments</w:t>
      </w:r>
      <w:r w:rsidRPr="00790C38">
        <w:t xml:space="preserve">. With regards to direct costs, operators do not have to pay fees or premiums nor set aside funds for future payments. It may be argued that such payments divert crucial funds away from the core commercial activity of the operator and could, at least theoretically, be spent on pollution </w:t>
      </w:r>
      <w:r w:rsidRPr="00790C38">
        <w:lastRenderedPageBreak/>
        <w:t>prevention. With regards</w:t>
      </w:r>
      <w:r w:rsidR="00D524DC" w:rsidRPr="00790C38">
        <w:t xml:space="preserve"> to</w:t>
      </w:r>
      <w:r w:rsidRPr="00790C38">
        <w:t xml:space="preserve"> indirect costs, </w:t>
      </w:r>
      <w:r w:rsidRPr="00790C38">
        <w:rPr>
          <w:rFonts w:cs="Arial"/>
        </w:rPr>
        <w:t>providers of bank guarantees</w:t>
      </w:r>
      <w:r w:rsidR="00D524DC" w:rsidRPr="00790C38">
        <w:rPr>
          <w:rFonts w:cs="Arial"/>
        </w:rPr>
        <w:t xml:space="preserve"> and</w:t>
      </w:r>
      <w:r w:rsidRPr="00790C38">
        <w:rPr>
          <w:rFonts w:cs="Arial"/>
        </w:rPr>
        <w:t xml:space="preserve"> letters of credit are likely to require collateral, such as cash, as security before providing the </w:t>
      </w:r>
      <w:r w:rsidR="00D524DC" w:rsidRPr="00790C38">
        <w:rPr>
          <w:rFonts w:cs="Arial"/>
        </w:rPr>
        <w:t>instrument</w:t>
      </w:r>
      <w:r w:rsidRPr="00790C38">
        <w:rPr>
          <w:rFonts w:cs="Arial"/>
        </w:rPr>
        <w:t>.</w:t>
      </w:r>
      <w:r w:rsidRPr="00790C38">
        <w:rPr>
          <w:rFonts w:cs="Arial"/>
          <w:vertAlign w:val="superscript"/>
        </w:rPr>
        <w:footnoteReference w:id="74"/>
      </w:r>
      <w:r w:rsidRPr="00790C38">
        <w:rPr>
          <w:rFonts w:cs="Arial"/>
        </w:rPr>
        <w:t xml:space="preserve"> The level of collateral is likely to be dependent upon the purchaser’s financial risk. It would not be uncommon</w:t>
      </w:r>
      <w:r w:rsidR="00790C38" w:rsidRPr="00790C38">
        <w:rPr>
          <w:rFonts w:cs="Arial"/>
        </w:rPr>
        <w:t xml:space="preserve"> for</w:t>
      </w:r>
      <w:r w:rsidRPr="00790C38">
        <w:rPr>
          <w:rFonts w:cs="Arial"/>
        </w:rPr>
        <w:t xml:space="preserve"> 100% of the </w:t>
      </w:r>
      <w:r w:rsidR="00790C38" w:rsidRPr="00790C38">
        <w:rPr>
          <w:rFonts w:cs="Arial"/>
        </w:rPr>
        <w:t>instrument</w:t>
      </w:r>
      <w:r w:rsidRPr="00790C38">
        <w:rPr>
          <w:rFonts w:cs="Arial"/>
        </w:rPr>
        <w:t>’s value to be demanded by way of collateral.</w:t>
      </w:r>
      <w:r w:rsidRPr="00790C38">
        <w:rPr>
          <w:rFonts w:cs="Arial"/>
          <w:vertAlign w:val="superscript"/>
        </w:rPr>
        <w:footnoteReference w:id="75"/>
      </w:r>
      <w:r w:rsidRPr="00790C38">
        <w:rPr>
          <w:rFonts w:cs="Arial"/>
        </w:rPr>
        <w:t xml:space="preserve"> Operators will be unable to utilise these funds and assets for other purposes, such as raising debt finance, for the duration of the coverage; the higher the collateral requirement, the greater this restriction. A consequence of this is, inter alia, that it will restrict the availability of new capital for investment in pollution prevention.</w:t>
      </w:r>
      <w:r w:rsidRPr="00790C38">
        <w:rPr>
          <w:rFonts w:cs="Arial"/>
          <w:vertAlign w:val="superscript"/>
        </w:rPr>
        <w:footnoteReference w:id="76"/>
      </w:r>
      <w:r w:rsidRPr="00790C38">
        <w:rPr>
          <w:rFonts w:cs="Arial"/>
        </w:rPr>
        <w:t xml:space="preserve"> Where funds are rendered inaccessible in this way, </w:t>
      </w:r>
      <w:r w:rsidR="00442BDB" w:rsidRPr="00790C38">
        <w:rPr>
          <w:rFonts w:cs="Arial"/>
        </w:rPr>
        <w:t xml:space="preserve">the probability of an </w:t>
      </w:r>
      <w:r w:rsidRPr="00790C38">
        <w:rPr>
          <w:rFonts w:cs="Arial"/>
        </w:rPr>
        <w:t>enviro</w:t>
      </w:r>
      <w:r w:rsidR="00EE3BE3" w:rsidRPr="00790C38">
        <w:rPr>
          <w:rFonts w:cs="Arial"/>
        </w:rPr>
        <w:t>nmental accident</w:t>
      </w:r>
      <w:r w:rsidRPr="00790C38">
        <w:rPr>
          <w:rFonts w:cs="Arial"/>
        </w:rPr>
        <w:t xml:space="preserve"> </w:t>
      </w:r>
      <w:r w:rsidR="00442BDB" w:rsidRPr="00790C38">
        <w:rPr>
          <w:rFonts w:cs="Arial"/>
        </w:rPr>
        <w:t>arising may increase</w:t>
      </w:r>
      <w:r w:rsidRPr="00790C38">
        <w:rPr>
          <w:rFonts w:cs="Arial"/>
        </w:rPr>
        <w:t>.</w:t>
      </w:r>
    </w:p>
    <w:p w:rsidR="00AC39D6" w:rsidRPr="00AC4703" w:rsidRDefault="00A26B53" w:rsidP="00586236">
      <w:pPr>
        <w:pStyle w:val="PhDParagraphnoIdent"/>
        <w:ind w:firstLine="709"/>
      </w:pPr>
      <w:r>
        <w:t>However, be</w:t>
      </w:r>
      <w:r w:rsidR="00AE4A0E">
        <w:t>yond circumstances</w:t>
      </w:r>
      <w:r w:rsidR="00E25DFF">
        <w:t xml:space="preserve"> where there is a surplus between the funds available to the operator and the extent of its liabilities</w:t>
      </w:r>
      <w:r w:rsidR="00631E08">
        <w:t xml:space="preserve">, </w:t>
      </w:r>
      <w:r w:rsidR="00BD49E9" w:rsidRPr="00BD49E9">
        <w:t xml:space="preserve">self-insurance </w:t>
      </w:r>
      <w:r w:rsidR="00D21708">
        <w:t>exhibits</w:t>
      </w:r>
      <w:r w:rsidR="00D60A7C" w:rsidRPr="00D60A7C">
        <w:t xml:space="preserve"> </w:t>
      </w:r>
      <w:r w:rsidR="001D402B">
        <w:t xml:space="preserve">certain </w:t>
      </w:r>
      <w:r w:rsidR="00E20565">
        <w:t>features</w:t>
      </w:r>
      <w:r w:rsidR="00D60A7C" w:rsidRPr="00D60A7C">
        <w:t xml:space="preserve"> </w:t>
      </w:r>
      <w:r w:rsidR="00644E73">
        <w:t xml:space="preserve">which mean that </w:t>
      </w:r>
      <w:r w:rsidR="00A1156A">
        <w:t xml:space="preserve">an </w:t>
      </w:r>
      <w:r w:rsidR="00644E73">
        <w:t xml:space="preserve">operator </w:t>
      </w:r>
      <w:r w:rsidR="001D402B">
        <w:t>may</w:t>
      </w:r>
      <w:r w:rsidR="00644E73">
        <w:t xml:space="preserve"> be </w:t>
      </w:r>
      <w:r w:rsidR="00A1156A">
        <w:t>un</w:t>
      </w:r>
      <w:r w:rsidR="00644E73">
        <w:t xml:space="preserve">able to </w:t>
      </w:r>
      <w:r w:rsidR="003B34EA">
        <w:t>meet its environmental liabilities in full. This will result</w:t>
      </w:r>
      <w:r w:rsidR="00644E73">
        <w:t xml:space="preserve"> in </w:t>
      </w:r>
      <w:r w:rsidR="0036715B">
        <w:t xml:space="preserve">an </w:t>
      </w:r>
      <w:r w:rsidR="00A1156A">
        <w:t xml:space="preserve">externalisation of </w:t>
      </w:r>
      <w:r w:rsidR="0036715B">
        <w:t xml:space="preserve">part or, indeed all, of </w:t>
      </w:r>
      <w:r w:rsidR="00A1156A">
        <w:t>the</w:t>
      </w:r>
      <w:r w:rsidR="0036715B">
        <w:t>se</w:t>
      </w:r>
      <w:r w:rsidR="00A85C52">
        <w:t xml:space="preserve"> costs to society. </w:t>
      </w:r>
      <w:r w:rsidR="007D20CD" w:rsidRPr="00716599">
        <w:t xml:space="preserve">Firstly, </w:t>
      </w:r>
      <w:r w:rsidR="00C3634A">
        <w:t xml:space="preserve">as </w:t>
      </w:r>
      <w:r w:rsidR="0055083B">
        <w:t>observed</w:t>
      </w:r>
      <w:r w:rsidR="001B2DBF">
        <w:t xml:space="preserve"> in</w:t>
      </w:r>
      <w:r w:rsidR="00C3634A">
        <w:t xml:space="preserve"> Section </w:t>
      </w:r>
      <w:r w:rsidR="00E544B2">
        <w:t>B</w:t>
      </w:r>
      <w:r w:rsidR="00C3634A">
        <w:t xml:space="preserve">, </w:t>
      </w:r>
      <w:r w:rsidR="00BD49E9" w:rsidRPr="00BD49E9">
        <w:t xml:space="preserve">self-insurance </w:t>
      </w:r>
      <w:r w:rsidR="004A5A2C" w:rsidRPr="00716599">
        <w:t>does not</w:t>
      </w:r>
      <w:r w:rsidR="00744C8F">
        <w:t>, generally,</w:t>
      </w:r>
      <w:r w:rsidR="004A5A2C" w:rsidRPr="00716599">
        <w:t xml:space="preserve"> require spec</w:t>
      </w:r>
      <w:r w:rsidR="00093490" w:rsidRPr="00716599">
        <w:t xml:space="preserve">ific assets or funds </w:t>
      </w:r>
      <w:r w:rsidR="002E564B">
        <w:t xml:space="preserve">to be </w:t>
      </w:r>
      <w:r w:rsidR="00A1156A">
        <w:t>available to a regulator s</w:t>
      </w:r>
      <w:r w:rsidR="004A5A2C" w:rsidRPr="00716599">
        <w:t xml:space="preserve">hould </w:t>
      </w:r>
      <w:r w:rsidR="007F799F">
        <w:t xml:space="preserve">prevention, </w:t>
      </w:r>
      <w:r w:rsidR="00A85C52">
        <w:t xml:space="preserve">remediation or restoration </w:t>
      </w:r>
      <w:r w:rsidR="008A3548">
        <w:t>costs need to be recovered</w:t>
      </w:r>
      <w:r w:rsidR="004A5A2C" w:rsidRPr="00716599">
        <w:t>.</w:t>
      </w:r>
      <w:r w:rsidR="007579BD" w:rsidRPr="00716599">
        <w:rPr>
          <w:rFonts w:cs="Arial"/>
        </w:rPr>
        <w:t xml:space="preserve"> </w:t>
      </w:r>
      <w:r w:rsidR="00255644" w:rsidRPr="00716599">
        <w:rPr>
          <w:rFonts w:cs="Arial"/>
        </w:rPr>
        <w:t xml:space="preserve">Instead, </w:t>
      </w:r>
      <w:r w:rsidR="00A02A56">
        <w:rPr>
          <w:rFonts w:cs="Arial"/>
        </w:rPr>
        <w:t>it</w:t>
      </w:r>
      <w:r w:rsidR="00A1156A">
        <w:rPr>
          <w:rFonts w:cs="Arial"/>
        </w:rPr>
        <w:t>s</w:t>
      </w:r>
      <w:r w:rsidR="00A02A56">
        <w:rPr>
          <w:rFonts w:cs="Arial"/>
        </w:rPr>
        <w:t xml:space="preserve"> </w:t>
      </w:r>
      <w:r w:rsidR="008A3548">
        <w:rPr>
          <w:rFonts w:cs="Arial"/>
        </w:rPr>
        <w:t xml:space="preserve">efficacy </w:t>
      </w:r>
      <w:r w:rsidR="00A02A56">
        <w:rPr>
          <w:rFonts w:cs="Arial"/>
        </w:rPr>
        <w:t xml:space="preserve">rests on the assumption that </w:t>
      </w:r>
      <w:r w:rsidR="00255644" w:rsidRPr="00716599">
        <w:rPr>
          <w:rFonts w:cs="Arial"/>
        </w:rPr>
        <w:t xml:space="preserve">satisfaction of financial tests or </w:t>
      </w:r>
      <w:r w:rsidR="00800D0C" w:rsidRPr="00716599">
        <w:rPr>
          <w:rFonts w:cs="Arial"/>
        </w:rPr>
        <w:t>ratios render</w:t>
      </w:r>
      <w:r w:rsidR="00255644" w:rsidRPr="00716599">
        <w:rPr>
          <w:rFonts w:cs="Arial"/>
        </w:rPr>
        <w:t xml:space="preserve"> the operator</w:t>
      </w:r>
      <w:r w:rsidR="00716599" w:rsidRPr="00716599">
        <w:rPr>
          <w:rFonts w:cs="Arial"/>
        </w:rPr>
        <w:t xml:space="preserve"> </w:t>
      </w:r>
      <w:r w:rsidR="00D1354C" w:rsidRPr="00716599">
        <w:rPr>
          <w:rFonts w:cs="Arial"/>
        </w:rPr>
        <w:t xml:space="preserve">able to draw upon </w:t>
      </w:r>
      <w:r w:rsidR="00A02A56">
        <w:rPr>
          <w:rFonts w:cs="Arial"/>
        </w:rPr>
        <w:t>a</w:t>
      </w:r>
      <w:r w:rsidR="00D1354C" w:rsidRPr="00716599">
        <w:rPr>
          <w:rFonts w:cs="Arial"/>
        </w:rPr>
        <w:t xml:space="preserve"> verified, and verifiable, capital base to meet its liabilities</w:t>
      </w:r>
      <w:r w:rsidR="00716599" w:rsidRPr="00716599">
        <w:rPr>
          <w:rFonts w:cs="Arial"/>
        </w:rPr>
        <w:t xml:space="preserve">. </w:t>
      </w:r>
      <w:r w:rsidR="00A02A56">
        <w:t>This contrasts starkly</w:t>
      </w:r>
      <w:r w:rsidR="00D1354C" w:rsidRPr="00716599">
        <w:t xml:space="preserve"> </w:t>
      </w:r>
      <w:r w:rsidR="00A02A56">
        <w:t>with</w:t>
      </w:r>
      <w:r w:rsidR="00253CA6" w:rsidRPr="00716599">
        <w:t xml:space="preserve"> measures such as </w:t>
      </w:r>
      <w:r w:rsidR="00866DD2">
        <w:t xml:space="preserve">trust funds, </w:t>
      </w:r>
      <w:r w:rsidR="00253CA6" w:rsidRPr="00716599">
        <w:t xml:space="preserve">insurance or </w:t>
      </w:r>
      <w:r w:rsidR="00744C8F">
        <w:t>surety bond</w:t>
      </w:r>
      <w:r w:rsidR="00A1156A">
        <w:t>s that are</w:t>
      </w:r>
      <w:r w:rsidR="00253CA6" w:rsidRPr="00716599">
        <w:t xml:space="preserve"> </w:t>
      </w:r>
      <w:r w:rsidR="00253CA6" w:rsidRPr="00716599">
        <w:rPr>
          <w:bCs/>
        </w:rPr>
        <w:t>dedicated to cover</w:t>
      </w:r>
      <w:r w:rsidR="00A1156A">
        <w:rPr>
          <w:bCs/>
        </w:rPr>
        <w:t xml:space="preserve"> </w:t>
      </w:r>
      <w:r w:rsidR="00A02A56">
        <w:rPr>
          <w:bCs/>
        </w:rPr>
        <w:t>environmental liabilities</w:t>
      </w:r>
      <w:r w:rsidR="00253CA6" w:rsidRPr="00716599">
        <w:rPr>
          <w:bCs/>
        </w:rPr>
        <w:t>.</w:t>
      </w:r>
      <w:r w:rsidR="00BC36FD">
        <w:rPr>
          <w:bCs/>
        </w:rPr>
        <w:t xml:space="preserve"> </w:t>
      </w:r>
      <w:r w:rsidR="0020731D">
        <w:rPr>
          <w:bCs/>
        </w:rPr>
        <w:t xml:space="preserve">With self-insurance, </w:t>
      </w:r>
      <w:r w:rsidR="0020731D">
        <w:t>e</w:t>
      </w:r>
      <w:r w:rsidR="002319A6" w:rsidRPr="007A3150">
        <w:t xml:space="preserve">ven </w:t>
      </w:r>
      <w:r w:rsidR="0036715B">
        <w:t>if</w:t>
      </w:r>
      <w:r w:rsidR="002319A6" w:rsidRPr="007A3150">
        <w:t xml:space="preserve"> specific</w:t>
      </w:r>
      <w:r w:rsidR="002D582A">
        <w:t>, unencumbered</w:t>
      </w:r>
      <w:r w:rsidR="002319A6" w:rsidRPr="007A3150">
        <w:t xml:space="preserve"> assets </w:t>
      </w:r>
      <w:r w:rsidR="001D402B">
        <w:t>were</w:t>
      </w:r>
      <w:r w:rsidR="0036715B">
        <w:t xml:space="preserve"> </w:t>
      </w:r>
      <w:r w:rsidR="007E5F44">
        <w:t>theoretically</w:t>
      </w:r>
      <w:r w:rsidR="002319A6" w:rsidRPr="007A3150">
        <w:t xml:space="preserve"> </w:t>
      </w:r>
      <w:r w:rsidR="004A3F71">
        <w:t>available</w:t>
      </w:r>
      <w:r w:rsidR="002319A6" w:rsidRPr="007A3150">
        <w:t xml:space="preserve">, </w:t>
      </w:r>
      <w:r w:rsidR="00D377BC">
        <w:t xml:space="preserve">they </w:t>
      </w:r>
      <w:r w:rsidR="00894350">
        <w:t>are</w:t>
      </w:r>
      <w:r w:rsidR="00744C8F">
        <w:t xml:space="preserve"> likely to</w:t>
      </w:r>
      <w:r w:rsidR="00D377BC">
        <w:t xml:space="preserve"> be treated as part of</w:t>
      </w:r>
      <w:r w:rsidR="002319A6" w:rsidRPr="007A3150">
        <w:t xml:space="preserve"> the operator’s</w:t>
      </w:r>
      <w:r w:rsidR="009A29EC">
        <w:t xml:space="preserve"> </w:t>
      </w:r>
      <w:r w:rsidR="00D377BC">
        <w:t xml:space="preserve">general </w:t>
      </w:r>
      <w:r w:rsidR="009A29EC">
        <w:t>body of</w:t>
      </w:r>
      <w:r w:rsidR="002319A6" w:rsidRPr="007A3150">
        <w:t xml:space="preserve"> assets</w:t>
      </w:r>
      <w:r w:rsidR="007E5F44" w:rsidRPr="007E5F44">
        <w:t xml:space="preserve"> </w:t>
      </w:r>
      <w:r w:rsidR="007E5F44">
        <w:t>and</w:t>
      </w:r>
      <w:r w:rsidR="0020731D">
        <w:t>,</w:t>
      </w:r>
      <w:r w:rsidR="007E5F44">
        <w:t xml:space="preserve"> </w:t>
      </w:r>
      <w:r w:rsidR="00685081">
        <w:t>thus</w:t>
      </w:r>
      <w:r w:rsidR="0020731D">
        <w:t>,</w:t>
      </w:r>
      <w:r w:rsidR="007E5F44">
        <w:t xml:space="preserve"> </w:t>
      </w:r>
      <w:r w:rsidR="007E5F44" w:rsidRPr="007A3150">
        <w:t xml:space="preserve">available to </w:t>
      </w:r>
      <w:r w:rsidR="00894350">
        <w:t>its</w:t>
      </w:r>
      <w:r w:rsidR="007E5F44">
        <w:t xml:space="preserve"> </w:t>
      </w:r>
      <w:r w:rsidR="00E544B2">
        <w:lastRenderedPageBreak/>
        <w:t xml:space="preserve">unsecured </w:t>
      </w:r>
      <w:r w:rsidR="007E5F44" w:rsidRPr="007A3150">
        <w:t xml:space="preserve">creditors </w:t>
      </w:r>
      <w:r w:rsidR="007E5F44">
        <w:t>should it enter into liquidation</w:t>
      </w:r>
      <w:r w:rsidR="00D377BC">
        <w:t>.</w:t>
      </w:r>
      <w:r w:rsidR="00E544B2">
        <w:rPr>
          <w:rStyle w:val="FootnoteReference"/>
        </w:rPr>
        <w:footnoteReference w:id="77"/>
      </w:r>
      <w:r w:rsidR="002319A6" w:rsidRPr="007A3150">
        <w:t xml:space="preserve"> </w:t>
      </w:r>
      <w:r w:rsidR="00A1156A">
        <w:t>T</w:t>
      </w:r>
      <w:r w:rsidR="00BC36FD">
        <w:t>his insolvency-related issue</w:t>
      </w:r>
      <w:r w:rsidR="00A1156A">
        <w:rPr>
          <w:rStyle w:val="FootnoteReference"/>
        </w:rPr>
        <w:footnoteReference w:id="78"/>
      </w:r>
      <w:r w:rsidR="007E1E6E">
        <w:t xml:space="preserve"> is considered below</w:t>
      </w:r>
      <w:r w:rsidR="0036715B">
        <w:t xml:space="preserve">. </w:t>
      </w:r>
      <w:r w:rsidR="009D3FA0">
        <w:rPr>
          <w:bCs/>
        </w:rPr>
        <w:t>That said,</w:t>
      </w:r>
      <w:r w:rsidR="000A382C">
        <w:rPr>
          <w:bCs/>
        </w:rPr>
        <w:t xml:space="preserve"> on its own, the lack of assets dedicated specifically to environmental liabilities is not inherently problematic</w:t>
      </w:r>
      <w:r w:rsidR="00894350">
        <w:rPr>
          <w:bCs/>
        </w:rPr>
        <w:t xml:space="preserve">. </w:t>
      </w:r>
      <w:r w:rsidR="00D56C9D">
        <w:rPr>
          <w:bCs/>
        </w:rPr>
        <w:t>A company, or indeed its parent,</w:t>
      </w:r>
      <w:r w:rsidR="0055462D">
        <w:rPr>
          <w:bCs/>
        </w:rPr>
        <w:t xml:space="preserve"> </w:t>
      </w:r>
      <w:r w:rsidR="00894350">
        <w:rPr>
          <w:bCs/>
        </w:rPr>
        <w:t xml:space="preserve">may </w:t>
      </w:r>
      <w:r w:rsidR="00D56C9D">
        <w:rPr>
          <w:bCs/>
        </w:rPr>
        <w:t xml:space="preserve">very well </w:t>
      </w:r>
      <w:r w:rsidR="00894350">
        <w:rPr>
          <w:bCs/>
        </w:rPr>
        <w:t>remain</w:t>
      </w:r>
      <w:r w:rsidR="00BC36FD">
        <w:rPr>
          <w:bCs/>
        </w:rPr>
        <w:t xml:space="preserve"> solvent after bearing </w:t>
      </w:r>
      <w:r w:rsidR="00D56C9D">
        <w:rPr>
          <w:bCs/>
        </w:rPr>
        <w:t>the financial costs associated with its</w:t>
      </w:r>
      <w:r w:rsidR="0036715B">
        <w:rPr>
          <w:bCs/>
        </w:rPr>
        <w:t xml:space="preserve"> environmental liabilities</w:t>
      </w:r>
      <w:r w:rsidR="00894350">
        <w:rPr>
          <w:bCs/>
        </w:rPr>
        <w:t xml:space="preserve">, particularly </w:t>
      </w:r>
      <w:r w:rsidR="00EB5698">
        <w:rPr>
          <w:bCs/>
        </w:rPr>
        <w:t>w</w:t>
      </w:r>
      <w:r w:rsidR="001B2DBF">
        <w:rPr>
          <w:bCs/>
        </w:rPr>
        <w:t>h</w:t>
      </w:r>
      <w:r w:rsidR="00EB5698">
        <w:rPr>
          <w:bCs/>
        </w:rPr>
        <w:t>ere the liability is</w:t>
      </w:r>
      <w:r w:rsidR="00894350">
        <w:rPr>
          <w:bCs/>
        </w:rPr>
        <w:t xml:space="preserve"> </w:t>
      </w:r>
      <w:r w:rsidR="005A585C">
        <w:rPr>
          <w:bCs/>
        </w:rPr>
        <w:t>small</w:t>
      </w:r>
      <w:r w:rsidR="00BC36FD">
        <w:rPr>
          <w:bCs/>
        </w:rPr>
        <w:t>.</w:t>
      </w:r>
    </w:p>
    <w:p w:rsidR="00160CB7" w:rsidRDefault="00E51336" w:rsidP="00586236">
      <w:pPr>
        <w:pStyle w:val="PhDParagraphnoIdent"/>
        <w:ind w:firstLine="709"/>
      </w:pPr>
      <w:r>
        <w:rPr>
          <w:rFonts w:cs="Arial"/>
        </w:rPr>
        <w:t xml:space="preserve">Secondly, </w:t>
      </w:r>
      <w:r w:rsidR="00BD49E9" w:rsidRPr="00BD49E9">
        <w:rPr>
          <w:rFonts w:cs="Arial"/>
        </w:rPr>
        <w:t xml:space="preserve">self-insurance </w:t>
      </w:r>
      <w:r>
        <w:rPr>
          <w:rFonts w:cs="Arial"/>
        </w:rPr>
        <w:t>assumes that</w:t>
      </w:r>
      <w:r w:rsidR="002319A6" w:rsidRPr="00843536">
        <w:rPr>
          <w:rFonts w:cs="Arial"/>
        </w:rPr>
        <w:t xml:space="preserve"> recent financial performance is a reasonable predictor</w:t>
      </w:r>
      <w:r w:rsidR="002319A6" w:rsidRPr="007A3150">
        <w:t xml:space="preserve"> of future financial performance.</w:t>
      </w:r>
      <w:r w:rsidR="002319A6" w:rsidRPr="007A3150">
        <w:rPr>
          <w:vertAlign w:val="superscript"/>
        </w:rPr>
        <w:footnoteReference w:id="79"/>
      </w:r>
      <w:r w:rsidR="002319A6" w:rsidRPr="007A3150">
        <w:t xml:space="preserve"> </w:t>
      </w:r>
      <w:r w:rsidR="00866DD2">
        <w:t>F</w:t>
      </w:r>
      <w:r>
        <w:t xml:space="preserve">laws exist in this assumption. </w:t>
      </w:r>
      <w:r w:rsidR="009C5F76">
        <w:t>T</w:t>
      </w:r>
      <w:r w:rsidR="00697A31">
        <w:t xml:space="preserve">he satisfaction of tests </w:t>
      </w:r>
      <w:r w:rsidR="00195BF1">
        <w:t xml:space="preserve">or ratios </w:t>
      </w:r>
      <w:r>
        <w:t xml:space="preserve">which </w:t>
      </w:r>
      <w:r w:rsidR="00BD49E9" w:rsidRPr="00BD49E9">
        <w:t xml:space="preserve">self-insurance </w:t>
      </w:r>
      <w:r w:rsidR="00BC36FD">
        <w:t>typically</w:t>
      </w:r>
      <w:r>
        <w:t xml:space="preserve"> requires </w:t>
      </w:r>
      <w:r w:rsidR="002319A6" w:rsidRPr="007A3150">
        <w:t>cannot anticipate a sudden, unexpected decline in a market</w:t>
      </w:r>
      <w:r w:rsidR="00160CB7">
        <w:t xml:space="preserve"> or price of a commodity</w:t>
      </w:r>
      <w:r>
        <w:t xml:space="preserve">, </w:t>
      </w:r>
      <w:r w:rsidR="002319A6" w:rsidRPr="007A3150">
        <w:t>the insolvency of a</w:t>
      </w:r>
      <w:r w:rsidR="00BC36FD">
        <w:t>n</w:t>
      </w:r>
      <w:r w:rsidR="002319A6" w:rsidRPr="007A3150">
        <w:t xml:space="preserve"> </w:t>
      </w:r>
      <w:r w:rsidR="00BC36FD">
        <w:t>important</w:t>
      </w:r>
      <w:r w:rsidR="002319A6" w:rsidRPr="007A3150">
        <w:t xml:space="preserve"> client</w:t>
      </w:r>
      <w:r>
        <w:t xml:space="preserve"> or </w:t>
      </w:r>
      <w:r w:rsidRPr="00C241E4">
        <w:t xml:space="preserve">the loss of a </w:t>
      </w:r>
      <w:r w:rsidR="00BC36FD" w:rsidRPr="00C241E4">
        <w:t>key</w:t>
      </w:r>
      <w:r w:rsidRPr="00C241E4">
        <w:t xml:space="preserve"> contract.</w:t>
      </w:r>
      <w:r w:rsidRPr="00C241E4">
        <w:rPr>
          <w:vertAlign w:val="superscript"/>
        </w:rPr>
        <w:footnoteReference w:id="80"/>
      </w:r>
      <w:r w:rsidR="002319A6" w:rsidRPr="00C241E4">
        <w:t xml:space="preserve"> </w:t>
      </w:r>
      <w:r w:rsidRPr="00C241E4">
        <w:t xml:space="preserve">Each of these factors can impact significantly </w:t>
      </w:r>
      <w:r w:rsidR="007E586B">
        <w:t>up</w:t>
      </w:r>
      <w:r w:rsidRPr="00C241E4">
        <w:t xml:space="preserve">on the </w:t>
      </w:r>
      <w:r w:rsidR="00773B97" w:rsidRPr="00C241E4">
        <w:t>operator</w:t>
      </w:r>
      <w:r w:rsidR="006976EA">
        <w:t>’</w:t>
      </w:r>
      <w:r w:rsidR="00773B97" w:rsidRPr="00C241E4">
        <w:t>s</w:t>
      </w:r>
      <w:r w:rsidR="002319A6" w:rsidRPr="00C241E4">
        <w:t xml:space="preserve"> </w:t>
      </w:r>
      <w:r w:rsidR="00160CB7">
        <w:t xml:space="preserve">cash flow, and consequently its </w:t>
      </w:r>
      <w:r w:rsidR="002319A6" w:rsidRPr="00C241E4">
        <w:t xml:space="preserve">capacity to meet </w:t>
      </w:r>
      <w:r w:rsidRPr="00C241E4">
        <w:t>its environmental liabilities</w:t>
      </w:r>
      <w:r w:rsidR="002319A6" w:rsidRPr="00C241E4">
        <w:t>.</w:t>
      </w:r>
      <w:r w:rsidR="00860AC6">
        <w:rPr>
          <w:rStyle w:val="FootnoteReference"/>
        </w:rPr>
        <w:footnoteReference w:id="81"/>
      </w:r>
      <w:r w:rsidR="00023AA1" w:rsidRPr="007A3150">
        <w:t xml:space="preserve"> </w:t>
      </w:r>
      <w:r w:rsidR="00C241E4">
        <w:t>C</w:t>
      </w:r>
      <w:r w:rsidR="00694F37">
        <w:t>oncerns</w:t>
      </w:r>
      <w:r w:rsidR="00762206">
        <w:t xml:space="preserve"> </w:t>
      </w:r>
      <w:r w:rsidR="00694F37">
        <w:t>regarding</w:t>
      </w:r>
      <w:r w:rsidR="00762206">
        <w:t xml:space="preserve"> </w:t>
      </w:r>
      <w:r w:rsidR="00762206" w:rsidRPr="00762206">
        <w:t xml:space="preserve">future financial performance </w:t>
      </w:r>
      <w:r w:rsidR="002319A6" w:rsidRPr="007A3150">
        <w:t>can</w:t>
      </w:r>
      <w:r w:rsidR="00697A31">
        <w:t xml:space="preserve"> </w:t>
      </w:r>
      <w:r w:rsidR="002319A6" w:rsidRPr="007A3150">
        <w:t xml:space="preserve">be </w:t>
      </w:r>
      <w:r w:rsidR="00350A80">
        <w:t>mitigated</w:t>
      </w:r>
      <w:r w:rsidR="002319A6" w:rsidRPr="007A3150">
        <w:t xml:space="preserve"> to some extent</w:t>
      </w:r>
      <w:r w:rsidR="00350A80">
        <w:t xml:space="preserve"> by self-reporting</w:t>
      </w:r>
      <w:r w:rsidR="002319A6" w:rsidRPr="007A3150">
        <w:t xml:space="preserve">. </w:t>
      </w:r>
      <w:r w:rsidR="00350A80">
        <w:t xml:space="preserve">Most mandatory financial security </w:t>
      </w:r>
      <w:r w:rsidR="00866DD2">
        <w:t xml:space="preserve">legislation </w:t>
      </w:r>
      <w:r w:rsidR="00350A80">
        <w:t xml:space="preserve">requires an operator to notify the regulator if </w:t>
      </w:r>
      <w:r w:rsidR="00C86BF9">
        <w:t>it</w:t>
      </w:r>
      <w:r w:rsidR="00350A80">
        <w:t xml:space="preserve"> no longer satisf</w:t>
      </w:r>
      <w:r w:rsidR="00C86BF9">
        <w:t>ies</w:t>
      </w:r>
      <w:r w:rsidR="00350A80">
        <w:t xml:space="preserve"> the cr</w:t>
      </w:r>
      <w:r w:rsidR="002319A6" w:rsidRPr="007A3150">
        <w:t>edit or financial strength rating requirement.</w:t>
      </w:r>
      <w:r w:rsidR="002319A6" w:rsidRPr="007A3150">
        <w:rPr>
          <w:vertAlign w:val="superscript"/>
        </w:rPr>
        <w:footnoteReference w:id="82"/>
      </w:r>
      <w:r w:rsidR="00694F37">
        <w:t xml:space="preserve"> C</w:t>
      </w:r>
      <w:r w:rsidR="00866DD2">
        <w:t xml:space="preserve">redit watch notifications </w:t>
      </w:r>
      <w:r w:rsidR="002319A6" w:rsidRPr="007A3150">
        <w:t xml:space="preserve">provide an early indication as to whether an operator’s ability to </w:t>
      </w:r>
      <w:r w:rsidR="00866DD2">
        <w:t xml:space="preserve">continue to </w:t>
      </w:r>
      <w:r w:rsidR="00BD49E9" w:rsidRPr="00BD49E9">
        <w:t>self-insur</w:t>
      </w:r>
      <w:r w:rsidR="00BD49E9">
        <w:t>e</w:t>
      </w:r>
      <w:r w:rsidR="00BD49E9" w:rsidRPr="00BD49E9">
        <w:t xml:space="preserve"> </w:t>
      </w:r>
      <w:r w:rsidR="00866DD2">
        <w:t>is</w:t>
      </w:r>
      <w:r w:rsidR="002319A6" w:rsidRPr="007A3150">
        <w:t xml:space="preserve"> in </w:t>
      </w:r>
      <w:r w:rsidR="002319A6" w:rsidRPr="007A3150">
        <w:lastRenderedPageBreak/>
        <w:t>doubt.</w:t>
      </w:r>
      <w:r w:rsidR="002319A6" w:rsidRPr="007A3150">
        <w:rPr>
          <w:vertAlign w:val="superscript"/>
        </w:rPr>
        <w:footnoteReference w:id="83"/>
      </w:r>
      <w:r w:rsidR="002319A6" w:rsidRPr="007A3150">
        <w:t xml:space="preserve"> </w:t>
      </w:r>
      <w:r w:rsidR="007A1E58">
        <w:t>Further</w:t>
      </w:r>
      <w:r w:rsidR="00C86BF9">
        <w:t xml:space="preserve">, mandatory financial security legislation typically </w:t>
      </w:r>
      <w:r w:rsidR="007A1E58">
        <w:t>authorises</w:t>
      </w:r>
      <w:r w:rsidR="00C86BF9">
        <w:t xml:space="preserve"> a regulator to query whether an operator </w:t>
      </w:r>
      <w:r w:rsidR="00095BE2">
        <w:t>continues to</w:t>
      </w:r>
      <w:r w:rsidR="00C86BF9">
        <w:t xml:space="preserve"> meet the relevant criteria and to require it to provide alternative financial security if the regulator concludes that </w:t>
      </w:r>
      <w:r w:rsidR="00254FC2">
        <w:t>this is no longer the case</w:t>
      </w:r>
      <w:r w:rsidR="00C86BF9">
        <w:t>.</w:t>
      </w:r>
      <w:r w:rsidR="00C86BF9">
        <w:rPr>
          <w:rStyle w:val="FootnoteReference"/>
        </w:rPr>
        <w:footnoteReference w:id="84"/>
      </w:r>
      <w:r w:rsidR="00C86BF9">
        <w:t xml:space="preserve"> </w:t>
      </w:r>
    </w:p>
    <w:p w:rsidR="002319A6" w:rsidRPr="005F5846" w:rsidRDefault="005F5846" w:rsidP="007E6BDA">
      <w:pPr>
        <w:pStyle w:val="PhDParagraphnoIdent"/>
        <w:ind w:firstLine="709"/>
      </w:pPr>
      <w:r>
        <w:t xml:space="preserve">However, </w:t>
      </w:r>
      <w:r w:rsidR="00652EBA">
        <w:t xml:space="preserve">whilst </w:t>
      </w:r>
      <w:r w:rsidR="00F73F1A">
        <w:t>predictions</w:t>
      </w:r>
      <w:r>
        <w:t xml:space="preserve"> of weak future financial performance </w:t>
      </w:r>
      <w:r w:rsidR="00652EBA">
        <w:t xml:space="preserve">may permit </w:t>
      </w:r>
      <w:r w:rsidR="0043655E">
        <w:t>a regulator</w:t>
      </w:r>
      <w:r w:rsidR="00652EBA">
        <w:t xml:space="preserve"> to be proactive in its dealings with the operator,</w:t>
      </w:r>
      <w:r w:rsidR="00B166D3" w:rsidRPr="0017568B">
        <w:rPr>
          <w:vertAlign w:val="superscript"/>
        </w:rPr>
        <w:footnoteReference w:id="85"/>
      </w:r>
      <w:r w:rsidR="00652EBA">
        <w:t xml:space="preserve"> it </w:t>
      </w:r>
      <w:r>
        <w:t xml:space="preserve">raises further difficulties for society as residual risk-bearer. </w:t>
      </w:r>
      <w:r w:rsidR="001D402B">
        <w:t>A</w:t>
      </w:r>
      <w:r w:rsidR="0023653A">
        <w:t>n operator may not be able to comply with a</w:t>
      </w:r>
      <w:r w:rsidR="00095BE2">
        <w:t xml:space="preserve"> requirement to substitute </w:t>
      </w:r>
      <w:r w:rsidR="00BD49E9" w:rsidRPr="00BD49E9">
        <w:t xml:space="preserve">self-insurance </w:t>
      </w:r>
      <w:r w:rsidR="00095BE2">
        <w:t>with third-party</w:t>
      </w:r>
      <w:r w:rsidR="00DE3AB3">
        <w:t xml:space="preserve"> financial security</w:t>
      </w:r>
      <w:r w:rsidR="007E586B">
        <w:t xml:space="preserve"> such as insurance or a surety bond</w:t>
      </w:r>
      <w:r>
        <w:t xml:space="preserve">, particularly </w:t>
      </w:r>
      <w:r w:rsidR="0023653A">
        <w:t>if</w:t>
      </w:r>
      <w:r w:rsidR="00DE3AB3">
        <w:t xml:space="preserve"> the operator</w:t>
      </w:r>
      <w:r>
        <w:t xml:space="preserve"> is financially distressed. </w:t>
      </w:r>
      <w:r w:rsidR="007A1E58">
        <w:t>Its cost</w:t>
      </w:r>
      <w:r w:rsidR="00DE3AB3">
        <w:t xml:space="preserve"> may also</w:t>
      </w:r>
      <w:r w:rsidR="007A1E58">
        <w:t xml:space="preserve"> be a factor in</w:t>
      </w:r>
      <w:r w:rsidR="00DE3AB3">
        <w:t xml:space="preserve"> tip</w:t>
      </w:r>
      <w:r w:rsidR="007A1E58">
        <w:t>ping</w:t>
      </w:r>
      <w:r w:rsidR="00DE3AB3">
        <w:t xml:space="preserve"> the operator into insolvency.</w:t>
      </w:r>
      <w:r w:rsidR="00DE3AB3">
        <w:rPr>
          <w:rStyle w:val="FootnoteReference"/>
        </w:rPr>
        <w:footnoteReference w:id="86"/>
      </w:r>
      <w:r w:rsidR="00DE3AB3">
        <w:t xml:space="preserve"> </w:t>
      </w:r>
      <w:r>
        <w:t xml:space="preserve">Alternatively, if </w:t>
      </w:r>
      <w:r w:rsidR="00652EBA">
        <w:t xml:space="preserve">as a result of the unfavourable credit notification, </w:t>
      </w:r>
      <w:r>
        <w:t>the relevant regulator requires the operator to deposit funds or assets to provide securit</w:t>
      </w:r>
      <w:r w:rsidR="000F1D6A">
        <w:t>y for environmental liabilities then</w:t>
      </w:r>
      <w:r>
        <w:t xml:space="preserve"> this may</w:t>
      </w:r>
      <w:r w:rsidR="002319A6" w:rsidRPr="007A3150">
        <w:t xml:space="preserve"> </w:t>
      </w:r>
      <w:r w:rsidR="00652EBA">
        <w:t xml:space="preserve">be </w:t>
      </w:r>
      <w:r w:rsidR="002319A6" w:rsidRPr="007A3150">
        <w:t xml:space="preserve">challenged as a preference under the </w:t>
      </w:r>
      <w:r w:rsidR="009A4D32">
        <w:t>IA 1986</w:t>
      </w:r>
      <w:r w:rsidR="007A1E58">
        <w:t xml:space="preserve"> </w:t>
      </w:r>
      <w:r w:rsidR="007932DE">
        <w:t>as discussed below</w:t>
      </w:r>
      <w:r w:rsidR="002319A6" w:rsidRPr="007A3150">
        <w:t>.</w:t>
      </w:r>
      <w:r w:rsidR="002319A6" w:rsidRPr="007A3150">
        <w:rPr>
          <w:rFonts w:cs="Arial"/>
          <w:bCs/>
          <w:vertAlign w:val="superscript"/>
        </w:rPr>
        <w:footnoteReference w:id="87"/>
      </w:r>
      <w:r w:rsidR="002319A6" w:rsidRPr="007A3150">
        <w:t xml:space="preserve"> </w:t>
      </w:r>
    </w:p>
    <w:p w:rsidR="007A1E58" w:rsidRDefault="003E1186" w:rsidP="007E6BDA">
      <w:pPr>
        <w:pStyle w:val="PhDParagraphnoIdent"/>
        <w:ind w:firstLine="709"/>
      </w:pPr>
      <w:r w:rsidRPr="00C14F32">
        <w:t xml:space="preserve">The </w:t>
      </w:r>
      <w:r w:rsidR="00762206" w:rsidRPr="00C14F32">
        <w:t>third</w:t>
      </w:r>
      <w:r w:rsidRPr="00C14F32">
        <w:t xml:space="preserve"> </w:t>
      </w:r>
      <w:r w:rsidR="000C4AAA" w:rsidRPr="00C14F32">
        <w:t>feature</w:t>
      </w:r>
      <w:r w:rsidR="007932DE">
        <w:t xml:space="preserve"> of </w:t>
      </w:r>
      <w:r w:rsidR="00BD49E9" w:rsidRPr="00BD49E9">
        <w:t xml:space="preserve">self-insurance </w:t>
      </w:r>
      <w:r w:rsidR="000C4AAA" w:rsidRPr="00C14F32">
        <w:t>which may hinder</w:t>
      </w:r>
      <w:r w:rsidRPr="00C14F32">
        <w:t xml:space="preserve"> </w:t>
      </w:r>
      <w:r w:rsidR="007A1E58">
        <w:t>its remedial capacity</w:t>
      </w:r>
      <w:r w:rsidRPr="00C14F32">
        <w:t xml:space="preserve"> </w:t>
      </w:r>
      <w:r w:rsidR="00DA78F4" w:rsidRPr="00C14F32">
        <w:t xml:space="preserve">relates </w:t>
      </w:r>
      <w:r w:rsidR="007A1E58">
        <w:t>to</w:t>
      </w:r>
      <w:r w:rsidR="00DA78F4" w:rsidRPr="00C14F32">
        <w:t xml:space="preserve"> reliance</w:t>
      </w:r>
      <w:r w:rsidR="00125C5F" w:rsidRPr="00C14F32">
        <w:t xml:space="preserve"> </w:t>
      </w:r>
      <w:r w:rsidR="00DA78F4" w:rsidRPr="00C14F32">
        <w:t>on data p</w:t>
      </w:r>
      <w:r w:rsidR="007932DE">
        <w:t>rovided</w:t>
      </w:r>
      <w:r w:rsidR="00DA78F4" w:rsidRPr="00C14F32">
        <w:t xml:space="preserve"> by the operator or </w:t>
      </w:r>
      <w:r w:rsidR="007932DE">
        <w:t>its</w:t>
      </w:r>
      <w:r w:rsidR="00DA78F4" w:rsidRPr="00C14F32">
        <w:t xml:space="preserve"> parent to satisfy the financial tests or ratios</w:t>
      </w:r>
      <w:r w:rsidR="001C59C2" w:rsidRPr="00C14F32">
        <w:t>. This data must be audited by the regulator</w:t>
      </w:r>
      <w:r w:rsidR="00DA78F4" w:rsidRPr="00C14F32">
        <w:t xml:space="preserve"> at appropriate intervals</w:t>
      </w:r>
      <w:r w:rsidR="00DA78F4" w:rsidRPr="00C14F32">
        <w:rPr>
          <w:bCs/>
        </w:rPr>
        <w:t xml:space="preserve"> to determine</w:t>
      </w:r>
      <w:r w:rsidR="00773B97" w:rsidRPr="00C14F32">
        <w:rPr>
          <w:bCs/>
        </w:rPr>
        <w:t xml:space="preserve"> both</w:t>
      </w:r>
      <w:r w:rsidR="00DA78F4" w:rsidRPr="00C14F32">
        <w:rPr>
          <w:bCs/>
        </w:rPr>
        <w:t xml:space="preserve"> </w:t>
      </w:r>
      <w:r w:rsidR="00933A3A" w:rsidRPr="00C14F32">
        <w:rPr>
          <w:bCs/>
        </w:rPr>
        <w:t>its</w:t>
      </w:r>
      <w:r w:rsidR="00DA78F4" w:rsidRPr="00C14F32">
        <w:rPr>
          <w:bCs/>
        </w:rPr>
        <w:t xml:space="preserve"> accuracy and </w:t>
      </w:r>
      <w:r w:rsidR="00773B97" w:rsidRPr="00C14F32">
        <w:rPr>
          <w:bCs/>
        </w:rPr>
        <w:t xml:space="preserve">whether the operator continues to satisfy the requisite financial tests and </w:t>
      </w:r>
      <w:r w:rsidR="00773B97" w:rsidRPr="00C14F32">
        <w:rPr>
          <w:bCs/>
        </w:rPr>
        <w:lastRenderedPageBreak/>
        <w:t>ratios</w:t>
      </w:r>
      <w:r w:rsidR="00DA78F4" w:rsidRPr="00C14F32">
        <w:t>.</w:t>
      </w:r>
      <w:r w:rsidR="00DA78F4" w:rsidRPr="00C14F32">
        <w:rPr>
          <w:vertAlign w:val="superscript"/>
        </w:rPr>
        <w:footnoteReference w:id="88"/>
      </w:r>
      <w:r w:rsidR="00C14F32">
        <w:t xml:space="preserve"> </w:t>
      </w:r>
      <w:r w:rsidR="00DA78F4">
        <w:t xml:space="preserve">This </w:t>
      </w:r>
      <w:r w:rsidR="00725CDC">
        <w:t>raises</w:t>
      </w:r>
      <w:r w:rsidR="00DA78F4">
        <w:t xml:space="preserve"> </w:t>
      </w:r>
      <w:r w:rsidR="0074798C">
        <w:t>two important</w:t>
      </w:r>
      <w:r w:rsidR="00DA78F4">
        <w:t xml:space="preserve"> implications. The first </w:t>
      </w:r>
      <w:r w:rsidR="00D03504">
        <w:t>concerns</w:t>
      </w:r>
      <w:r w:rsidR="00DA78F4">
        <w:t xml:space="preserve"> resources</w:t>
      </w:r>
      <w:r w:rsidR="00D03504">
        <w:t xml:space="preserve">, both human and financial. </w:t>
      </w:r>
      <w:r w:rsidR="00B65B50">
        <w:t>Auditing</w:t>
      </w:r>
      <w:r w:rsidR="00D03504">
        <w:t xml:space="preserve"> </w:t>
      </w:r>
      <w:r w:rsidR="00725CDC">
        <w:t xml:space="preserve">the data </w:t>
      </w:r>
      <w:r w:rsidR="007932DE">
        <w:t xml:space="preserve">is time </w:t>
      </w:r>
      <w:r w:rsidR="00D03504">
        <w:t>consuming and expensive. With the tightening of budgets, robust auditing by regulators may not be possible. Furthermore, t</w:t>
      </w:r>
      <w:r w:rsidR="00DA78F4" w:rsidRPr="00DA78F4">
        <w:t>he i</w:t>
      </w:r>
      <w:r w:rsidR="00DA78F4" w:rsidRPr="00DA78F4">
        <w:rPr>
          <w:bCs/>
        </w:rPr>
        <w:t xml:space="preserve">nterpretation, verification, and monitoring of the financial tests </w:t>
      </w:r>
      <w:r w:rsidR="001D38D3">
        <w:rPr>
          <w:bCs/>
        </w:rPr>
        <w:t>or</w:t>
      </w:r>
      <w:r w:rsidR="00DA78F4" w:rsidRPr="00DA78F4">
        <w:rPr>
          <w:bCs/>
        </w:rPr>
        <w:t xml:space="preserve"> ratios require the relevant regulator to possess </w:t>
      </w:r>
      <w:r w:rsidR="007932DE">
        <w:rPr>
          <w:bCs/>
        </w:rPr>
        <w:t>sufficient financial expertise,</w:t>
      </w:r>
      <w:r w:rsidR="00DA78F4" w:rsidRPr="00DA78F4">
        <w:rPr>
          <w:bCs/>
          <w:vertAlign w:val="superscript"/>
        </w:rPr>
        <w:footnoteReference w:id="89"/>
      </w:r>
      <w:r w:rsidR="00DA78F4" w:rsidRPr="00DA78F4">
        <w:t xml:space="preserve"> </w:t>
      </w:r>
      <w:r w:rsidR="007932DE">
        <w:t>which</w:t>
      </w:r>
      <w:r w:rsidR="00DA78F4" w:rsidRPr="00DA78F4">
        <w:t xml:space="preserve"> may, or may not, </w:t>
      </w:r>
      <w:r w:rsidR="007932DE">
        <w:t>exist. In turn, this may require</w:t>
      </w:r>
      <w:r w:rsidR="00D03504">
        <w:t xml:space="preserve"> additional staff with the requisite skills</w:t>
      </w:r>
      <w:r w:rsidR="00125C5F">
        <w:t>, thus creating an additional expense</w:t>
      </w:r>
      <w:r w:rsidR="00D03504">
        <w:t xml:space="preserve">. </w:t>
      </w:r>
      <w:r w:rsidR="00DB1791">
        <w:t>Regulators</w:t>
      </w:r>
      <w:r w:rsidR="00C172DB">
        <w:t xml:space="preserve"> </w:t>
      </w:r>
      <w:r w:rsidR="00DB1791">
        <w:t>must</w:t>
      </w:r>
      <w:r w:rsidR="00C172DB">
        <w:t xml:space="preserve"> </w:t>
      </w:r>
      <w:r w:rsidR="0042047E">
        <w:t xml:space="preserve">be in a position to </w:t>
      </w:r>
      <w:r w:rsidR="00DB1791">
        <w:t>dedicate adequate</w:t>
      </w:r>
      <w:r w:rsidR="00C172DB">
        <w:t xml:space="preserve"> time </w:t>
      </w:r>
      <w:r w:rsidR="00DB1791">
        <w:t>and</w:t>
      </w:r>
      <w:r w:rsidR="00C172DB">
        <w:t xml:space="preserve"> </w:t>
      </w:r>
      <w:r w:rsidR="00C172DB" w:rsidRPr="00DC238E">
        <w:t xml:space="preserve">resources to </w:t>
      </w:r>
      <w:r w:rsidR="00DB1791" w:rsidRPr="00DC238E">
        <w:t>subjecting</w:t>
      </w:r>
      <w:r w:rsidR="00C172DB" w:rsidRPr="00DC238E">
        <w:t xml:space="preserve"> </w:t>
      </w:r>
      <w:r w:rsidR="00A70974" w:rsidRPr="00DC238E">
        <w:t xml:space="preserve">the data presented by </w:t>
      </w:r>
      <w:r w:rsidR="00BD49E9" w:rsidRPr="00BD49E9">
        <w:t xml:space="preserve">self-insurance </w:t>
      </w:r>
      <w:r w:rsidR="00C172DB" w:rsidRPr="00DC238E">
        <w:t xml:space="preserve">operators </w:t>
      </w:r>
      <w:r w:rsidR="00DB1791" w:rsidRPr="00DC238E">
        <w:t>to the requisite level of</w:t>
      </w:r>
      <w:r w:rsidR="00C172DB" w:rsidRPr="00DC238E">
        <w:t xml:space="preserve"> </w:t>
      </w:r>
      <w:r w:rsidR="00DB1791" w:rsidRPr="00DC238E">
        <w:t xml:space="preserve">analysis. </w:t>
      </w:r>
      <w:r w:rsidR="00E6258A">
        <w:t>I</w:t>
      </w:r>
      <w:r w:rsidR="00DB1791" w:rsidRPr="00DC238E">
        <w:t xml:space="preserve">f they </w:t>
      </w:r>
      <w:r w:rsidR="001B2DBF" w:rsidRPr="00DC238E">
        <w:t>are</w:t>
      </w:r>
      <w:r w:rsidR="00DB1791" w:rsidRPr="00DC238E">
        <w:t xml:space="preserve"> not</w:t>
      </w:r>
      <w:r w:rsidR="0042047E" w:rsidRPr="00DC238E">
        <w:t xml:space="preserve"> </w:t>
      </w:r>
      <w:r w:rsidR="00FC21DE">
        <w:t>able</w:t>
      </w:r>
      <w:r w:rsidR="0042047E" w:rsidRPr="00DC238E">
        <w:t xml:space="preserve"> </w:t>
      </w:r>
      <w:r w:rsidR="00E6258A">
        <w:t>to do</w:t>
      </w:r>
      <w:r w:rsidR="0042047E" w:rsidRPr="00DC238E">
        <w:t xml:space="preserve"> so</w:t>
      </w:r>
      <w:r w:rsidR="00DB1791" w:rsidRPr="00DC238E">
        <w:t xml:space="preserve"> but still permit</w:t>
      </w:r>
      <w:r w:rsidR="00C172DB" w:rsidRPr="00DC238E">
        <w:t xml:space="preserve"> </w:t>
      </w:r>
      <w:r w:rsidR="00BD49E9" w:rsidRPr="00BD49E9">
        <w:t xml:space="preserve">self-insurance </w:t>
      </w:r>
      <w:r w:rsidR="00C172DB" w:rsidRPr="00DC238E">
        <w:t xml:space="preserve">then </w:t>
      </w:r>
      <w:r w:rsidR="00F841CD" w:rsidRPr="00DC238E">
        <w:t>the</w:t>
      </w:r>
      <w:r w:rsidR="00BE3166" w:rsidRPr="00DC238E">
        <w:t xml:space="preserve"> </w:t>
      </w:r>
      <w:r w:rsidR="00F841CD" w:rsidRPr="00DC238E">
        <w:t>prospect of the operator or its</w:t>
      </w:r>
      <w:r w:rsidR="00BE3166" w:rsidRPr="00DC238E">
        <w:t xml:space="preserve"> parent defaulting on their environmental obligations</w:t>
      </w:r>
      <w:r w:rsidR="00F841CD" w:rsidRPr="00DC238E">
        <w:t xml:space="preserve"> at a later date cannot be </w:t>
      </w:r>
      <w:r w:rsidR="00E6258A">
        <w:t>pre-empted</w:t>
      </w:r>
      <w:r w:rsidR="00F841CD" w:rsidRPr="00DC238E">
        <w:t xml:space="preserve">. The </w:t>
      </w:r>
      <w:r w:rsidR="00150F4B" w:rsidRPr="00DC238E">
        <w:t>liquidation</w:t>
      </w:r>
      <w:r w:rsidR="00F841CD" w:rsidRPr="00DC238E">
        <w:t xml:space="preserve"> of Scottish Coal </w:t>
      </w:r>
      <w:r w:rsidR="00BC23C6">
        <w:t>Company Ltd</w:t>
      </w:r>
      <w:r w:rsidR="003D29ED" w:rsidRPr="00DC238E">
        <w:t xml:space="preserve"> </w:t>
      </w:r>
      <w:r w:rsidR="00F841CD" w:rsidRPr="00DC238E">
        <w:t xml:space="preserve">in 2013 and the resulting externalisation of </w:t>
      </w:r>
      <w:r w:rsidR="004317F9">
        <w:t xml:space="preserve">the </w:t>
      </w:r>
      <w:r w:rsidR="00E6258A">
        <w:t xml:space="preserve">vast </w:t>
      </w:r>
      <w:r w:rsidR="004317F9">
        <w:t xml:space="preserve">costs associated with </w:t>
      </w:r>
      <w:r w:rsidR="00F841CD" w:rsidRPr="00DC238E">
        <w:t>restoration works</w:t>
      </w:r>
      <w:r w:rsidR="00C42512">
        <w:t xml:space="preserve"> following </w:t>
      </w:r>
      <w:r w:rsidR="00A27456">
        <w:t xml:space="preserve">a </w:t>
      </w:r>
      <w:r w:rsidR="00C662B1">
        <w:t>wholly</w:t>
      </w:r>
      <w:r w:rsidR="00C42512">
        <w:t xml:space="preserve"> inadequate bond provision </w:t>
      </w:r>
      <w:r w:rsidR="00B25EC8">
        <w:t xml:space="preserve">is a case in point. </w:t>
      </w:r>
      <w:r w:rsidR="00C42512">
        <w:t>The requisite works were estimated at</w:t>
      </w:r>
      <w:r w:rsidR="00C42512" w:rsidRPr="00DC238E">
        <w:t xml:space="preserve"> </w:t>
      </w:r>
      <w:r w:rsidR="00C42512">
        <w:t>approximately £73,000,000.</w:t>
      </w:r>
      <w:r w:rsidR="00C42512">
        <w:rPr>
          <w:rStyle w:val="FootnoteReference"/>
          <w:rFonts w:cs="Arial"/>
        </w:rPr>
        <w:footnoteReference w:id="90"/>
      </w:r>
      <w:r w:rsidR="00C662B1">
        <w:t xml:space="preserve"> </w:t>
      </w:r>
      <w:r w:rsidR="00C42512">
        <w:t>This</w:t>
      </w:r>
      <w:r w:rsidR="00B25EC8">
        <w:t xml:space="preserve"> </w:t>
      </w:r>
      <w:r w:rsidR="00B25EC8" w:rsidRPr="00DC238E">
        <w:t>demonstrate</w:t>
      </w:r>
      <w:r w:rsidR="00B25EC8">
        <w:t>s</w:t>
      </w:r>
      <w:r w:rsidR="00F841CD" w:rsidRPr="00DC238E">
        <w:t xml:space="preserve"> the very real risk posed to society by insufficient regulatory </w:t>
      </w:r>
      <w:r w:rsidR="004E6E54">
        <w:t xml:space="preserve">expertise and </w:t>
      </w:r>
      <w:r w:rsidR="00F841CD" w:rsidRPr="00DC238E">
        <w:t xml:space="preserve">oversight of </w:t>
      </w:r>
      <w:r w:rsidR="003D29ED" w:rsidRPr="00DC238E">
        <w:t xml:space="preserve">financial security </w:t>
      </w:r>
      <w:r w:rsidR="004E6E54">
        <w:t>provision</w:t>
      </w:r>
      <w:r w:rsidR="006376AC">
        <w:t>,</w:t>
      </w:r>
      <w:r w:rsidR="006376AC">
        <w:rPr>
          <w:rStyle w:val="FootnoteReference"/>
          <w:rFonts w:cs="Arial"/>
        </w:rPr>
        <w:footnoteReference w:id="91"/>
      </w:r>
      <w:r w:rsidR="00B25EC8">
        <w:t xml:space="preserve"> both prior to permitting activities to commence and during the operational phase</w:t>
      </w:r>
      <w:r w:rsidR="003D29ED" w:rsidRPr="00DC238E">
        <w:t>.</w:t>
      </w:r>
      <w:r w:rsidR="003D29ED">
        <w:t xml:space="preserve"> </w:t>
      </w:r>
    </w:p>
    <w:p w:rsidR="00C53323" w:rsidRDefault="006100DF" w:rsidP="00072144">
      <w:pPr>
        <w:pStyle w:val="PhDParagraphnoIdent"/>
        <w:ind w:firstLine="709"/>
      </w:pPr>
      <w:r>
        <w:t xml:space="preserve">The second </w:t>
      </w:r>
      <w:r w:rsidR="00B65B50">
        <w:t xml:space="preserve">implication </w:t>
      </w:r>
      <w:r>
        <w:t xml:space="preserve">relates to the </w:t>
      </w:r>
      <w:r w:rsidR="001C59C2">
        <w:t xml:space="preserve">accuracy of the </w:t>
      </w:r>
      <w:r w:rsidR="00B65B50">
        <w:t xml:space="preserve">underlying </w:t>
      </w:r>
      <w:r w:rsidR="001C59C2">
        <w:t>data. Reliance</w:t>
      </w:r>
      <w:r>
        <w:t xml:space="preserve"> on financial tests or ratios </w:t>
      </w:r>
      <w:r w:rsidR="001C59C2">
        <w:t>presumes</w:t>
      </w:r>
      <w:r>
        <w:t xml:space="preserve"> that the dat</w:t>
      </w:r>
      <w:r w:rsidR="001C59C2">
        <w:t>a</w:t>
      </w:r>
      <w:r>
        <w:t xml:space="preserve"> used to </w:t>
      </w:r>
      <w:r w:rsidR="001C59C2">
        <w:t>calculate</w:t>
      </w:r>
      <w:r>
        <w:t xml:space="preserve"> them is accurate</w:t>
      </w:r>
      <w:r w:rsidR="001C59C2">
        <w:t xml:space="preserve"> and derived </w:t>
      </w:r>
      <w:r w:rsidR="00013E07">
        <w:t>from transparent</w:t>
      </w:r>
      <w:r w:rsidR="00C14F32">
        <w:t xml:space="preserve">, </w:t>
      </w:r>
      <w:r w:rsidR="001C59C2">
        <w:t>uniform</w:t>
      </w:r>
      <w:r w:rsidR="00013E07">
        <w:t xml:space="preserve"> accounting procedures</w:t>
      </w:r>
      <w:r w:rsidR="00A5655F">
        <w:t xml:space="preserve"> </w:t>
      </w:r>
      <w:r w:rsidR="00C14F32">
        <w:t xml:space="preserve">utilised </w:t>
      </w:r>
      <w:r w:rsidR="00B65B50">
        <w:t>by</w:t>
      </w:r>
      <w:r w:rsidR="00A5655F">
        <w:t xml:space="preserve"> all operators applying to </w:t>
      </w:r>
      <w:r w:rsidR="00BD49E9" w:rsidRPr="00BD49E9">
        <w:t>self-insurance</w:t>
      </w:r>
      <w:r w:rsidR="00A5655F">
        <w:t xml:space="preserve">, or to </w:t>
      </w:r>
      <w:r w:rsidR="00A5655F" w:rsidRPr="001D38D3">
        <w:t xml:space="preserve">continue </w:t>
      </w:r>
      <w:r w:rsidR="00BD49E9">
        <w:t>self-insuring</w:t>
      </w:r>
      <w:r w:rsidR="001C59C2" w:rsidRPr="001D38D3">
        <w:t xml:space="preserve">. </w:t>
      </w:r>
      <w:r w:rsidR="00A5655F" w:rsidRPr="00C14F32">
        <w:t xml:space="preserve">However, </w:t>
      </w:r>
      <w:r w:rsidRPr="00C14F32">
        <w:t>operators</w:t>
      </w:r>
      <w:r w:rsidR="003C42C7" w:rsidRPr="00C14F32">
        <w:t xml:space="preserve"> may not </w:t>
      </w:r>
      <w:r w:rsidR="00013E07" w:rsidRPr="00C14F32">
        <w:t>adopt such</w:t>
      </w:r>
      <w:r w:rsidR="003C42C7" w:rsidRPr="00C14F32">
        <w:t xml:space="preserve"> procedures</w:t>
      </w:r>
      <w:r w:rsidR="00A5655F" w:rsidRPr="00C14F32">
        <w:t xml:space="preserve"> in deriving the relevant data</w:t>
      </w:r>
      <w:r w:rsidR="001D38D3" w:rsidRPr="00C14F32">
        <w:t>,</w:t>
      </w:r>
      <w:r w:rsidR="003C42C7" w:rsidRPr="00C14F32">
        <w:rPr>
          <w:vertAlign w:val="superscript"/>
        </w:rPr>
        <w:footnoteReference w:id="92"/>
      </w:r>
      <w:r w:rsidR="003C42C7" w:rsidRPr="00C14F32">
        <w:t xml:space="preserve"> </w:t>
      </w:r>
      <w:r w:rsidR="007932DE">
        <w:t>leading to difficulties in ensuring</w:t>
      </w:r>
      <w:r w:rsidR="001D38D3" w:rsidRPr="00C14F32">
        <w:t xml:space="preserve"> </w:t>
      </w:r>
      <w:r w:rsidRPr="00C14F32">
        <w:t xml:space="preserve">equality of </w:t>
      </w:r>
      <w:r w:rsidRPr="00C14F32">
        <w:lastRenderedPageBreak/>
        <w:t xml:space="preserve">treatment between </w:t>
      </w:r>
      <w:r w:rsidR="007932DE">
        <w:t>operators</w:t>
      </w:r>
      <w:r w:rsidR="00C14F32" w:rsidRPr="00C14F32">
        <w:t>. For</w:t>
      </w:r>
      <w:r w:rsidR="00C14F32">
        <w:t xml:space="preserve"> example, some applicants may pass the financial tests or ratios </w:t>
      </w:r>
      <w:r w:rsidR="007A1E58">
        <w:t xml:space="preserve">or satisfy self-bonding requirements </w:t>
      </w:r>
      <w:r w:rsidR="00C14F32">
        <w:t>when they should have failed.</w:t>
      </w:r>
      <w:r w:rsidR="007A1E58">
        <w:rPr>
          <w:rStyle w:val="FootnoteReference"/>
          <w:rFonts w:cs="Arial"/>
        </w:rPr>
        <w:footnoteReference w:id="93"/>
      </w:r>
      <w:r w:rsidR="00C14F32">
        <w:t xml:space="preserve"> </w:t>
      </w:r>
      <w:r w:rsidR="001C59C2" w:rsidRPr="001D38D3">
        <w:t>W</w:t>
      </w:r>
      <w:r w:rsidRPr="001D38D3">
        <w:t>here the accounting used to derive the data which is then used to satisfy the</w:t>
      </w:r>
      <w:r w:rsidR="00C14F32">
        <w:t xml:space="preserve"> financial</w:t>
      </w:r>
      <w:r w:rsidRPr="001D38D3">
        <w:t xml:space="preserve"> test</w:t>
      </w:r>
      <w:r w:rsidR="00C14F32">
        <w:t>s or ratios</w:t>
      </w:r>
      <w:r w:rsidRPr="00004003">
        <w:t xml:space="preserve"> is unintentionally inaccurate</w:t>
      </w:r>
      <w:r w:rsidRPr="007A3150">
        <w:t xml:space="preserve"> or at worst, fraudulent, the</w:t>
      </w:r>
      <w:r w:rsidR="00C14F32">
        <w:t xml:space="preserve"> tests or</w:t>
      </w:r>
      <w:r w:rsidRPr="007A3150">
        <w:t xml:space="preserve"> ratios </w:t>
      </w:r>
      <w:r w:rsidR="007932DE">
        <w:t xml:space="preserve">will </w:t>
      </w:r>
      <w:r w:rsidRPr="007A3150">
        <w:t>not represent the operator’s true financial condition.</w:t>
      </w:r>
      <w:r w:rsidRPr="007A3150">
        <w:rPr>
          <w:vertAlign w:val="superscript"/>
        </w:rPr>
        <w:footnoteReference w:id="94"/>
      </w:r>
      <w:r w:rsidRPr="007A3150">
        <w:t xml:space="preserve"> Indeed, operators may portray their financial position to be healthier than is actually the case in order to avoid having to pay for insurance.</w:t>
      </w:r>
      <w:r w:rsidRPr="007A3150">
        <w:rPr>
          <w:vertAlign w:val="superscript"/>
        </w:rPr>
        <w:footnoteReference w:id="95"/>
      </w:r>
      <w:r w:rsidRPr="007A3150">
        <w:t xml:space="preserve"> Whilst such accounting may not </w:t>
      </w:r>
      <w:r w:rsidR="007261AB">
        <w:t>be fraudulent</w:t>
      </w:r>
      <w:r w:rsidRPr="007A3150">
        <w:t xml:space="preserve"> in the majority of cases, accounting fraud is relatively common amongst small </w:t>
      </w:r>
      <w:r w:rsidR="0074798C">
        <w:t>operators</w:t>
      </w:r>
      <w:r w:rsidRPr="007A3150">
        <w:t xml:space="preserve"> </w:t>
      </w:r>
      <w:r w:rsidR="00E6258A">
        <w:t>and those in financial distress.</w:t>
      </w:r>
      <w:r w:rsidRPr="007A3150">
        <w:rPr>
          <w:vertAlign w:val="superscript"/>
        </w:rPr>
        <w:footnoteReference w:id="96"/>
      </w:r>
      <w:r w:rsidRPr="007A3150">
        <w:t xml:space="preserve"> </w:t>
      </w:r>
      <w:r w:rsidR="00E6258A">
        <w:t>It</w:t>
      </w:r>
      <w:r w:rsidRPr="007A3150">
        <w:t xml:space="preserve"> may only be discovered when it is too late. </w:t>
      </w:r>
      <w:r w:rsidR="0074798C">
        <w:t xml:space="preserve">Whilst </w:t>
      </w:r>
      <w:r w:rsidR="00BD49E9" w:rsidRPr="00BD49E9">
        <w:t xml:space="preserve">self-insurance </w:t>
      </w:r>
      <w:r w:rsidR="0074798C">
        <w:t>is unlikely to be available to small operators, the prospect of formerly large, financial</w:t>
      </w:r>
      <w:r w:rsidR="00714717">
        <w:t>ly</w:t>
      </w:r>
      <w:r w:rsidR="0074798C">
        <w:t xml:space="preserve"> stable operators becoming financially distressed and portray</w:t>
      </w:r>
      <w:r w:rsidR="007932DE">
        <w:t>ing</w:t>
      </w:r>
      <w:r w:rsidR="0074798C">
        <w:t xml:space="preserve"> a stronger balance sheet than its finances wou</w:t>
      </w:r>
      <w:r w:rsidR="006E38AF">
        <w:t>ld dictate is entirely possible. Indeed,</w:t>
      </w:r>
      <w:r w:rsidR="00D2668E">
        <w:t xml:space="preserve"> there are precedents for it</w:t>
      </w:r>
      <w:r w:rsidR="006E38AF">
        <w:t>, notably Enron</w:t>
      </w:r>
      <w:r w:rsidR="00D2668E">
        <w:t>.</w:t>
      </w:r>
      <w:r w:rsidR="007261AB">
        <w:rPr>
          <w:rStyle w:val="FootnoteReference"/>
        </w:rPr>
        <w:footnoteReference w:id="97"/>
      </w:r>
      <w:r w:rsidR="00090DBC">
        <w:t xml:space="preserve"> </w:t>
      </w:r>
      <w:r w:rsidR="007F680A">
        <w:t xml:space="preserve">The combined effect </w:t>
      </w:r>
      <w:r w:rsidR="0074798C">
        <w:t xml:space="preserve">of the implications </w:t>
      </w:r>
      <w:r w:rsidR="00EA03B2">
        <w:t>associated with reliance</w:t>
      </w:r>
      <w:r w:rsidR="0074798C">
        <w:t xml:space="preserve"> on </w:t>
      </w:r>
      <w:r w:rsidR="00547B8E">
        <w:t xml:space="preserve">submitted </w:t>
      </w:r>
      <w:r w:rsidR="0074798C">
        <w:t xml:space="preserve">data </w:t>
      </w:r>
      <w:r w:rsidR="00925250">
        <w:t>may be an inaccurate reflection of</w:t>
      </w:r>
      <w:r w:rsidR="00090DBC" w:rsidRPr="007F680A">
        <w:t xml:space="preserve"> </w:t>
      </w:r>
      <w:r w:rsidR="007F680A" w:rsidRPr="007F680A">
        <w:t xml:space="preserve">the level of funds </w:t>
      </w:r>
      <w:r w:rsidR="00013E07">
        <w:t>available to meet environmental liabilities</w:t>
      </w:r>
      <w:r w:rsidR="007F680A" w:rsidRPr="007F680A">
        <w:t>.</w:t>
      </w:r>
      <w:r w:rsidR="007F680A">
        <w:t xml:space="preserve"> </w:t>
      </w:r>
      <w:r w:rsidR="009D6ADB">
        <w:t xml:space="preserve">For a financial security measure </w:t>
      </w:r>
      <w:r w:rsidR="00FA4EA1">
        <w:t>whose viability</w:t>
      </w:r>
      <w:r w:rsidR="00EA03B2">
        <w:t xml:space="preserve"> </w:t>
      </w:r>
      <w:r w:rsidR="00013E07">
        <w:t xml:space="preserve">and legitimacy </w:t>
      </w:r>
      <w:r w:rsidR="00EA03B2">
        <w:t xml:space="preserve">hinges on </w:t>
      </w:r>
      <w:r w:rsidR="009D6ADB">
        <w:t xml:space="preserve">the credibility of data utilised, this </w:t>
      </w:r>
      <w:r w:rsidR="00546AD0">
        <w:t>raises</w:t>
      </w:r>
      <w:r w:rsidR="009D6ADB">
        <w:t xml:space="preserve"> fundamental concern</w:t>
      </w:r>
      <w:r w:rsidR="00546AD0">
        <w:t>s</w:t>
      </w:r>
      <w:r w:rsidR="009D6ADB">
        <w:t xml:space="preserve"> </w:t>
      </w:r>
      <w:r w:rsidR="00546AD0">
        <w:t>as to its regulatory permissibility</w:t>
      </w:r>
      <w:r w:rsidR="009D6ADB">
        <w:t>.</w:t>
      </w:r>
    </w:p>
    <w:p w:rsidR="00154A87" w:rsidRDefault="00C9715D" w:rsidP="00C9715D">
      <w:pPr>
        <w:pStyle w:val="Heading2"/>
      </w:pPr>
      <w:bookmarkStart w:id="4" w:name="_Ref432770178"/>
      <w:r>
        <w:lastRenderedPageBreak/>
        <w:t xml:space="preserve">2.  </w:t>
      </w:r>
      <w:r w:rsidR="003F0BFA">
        <w:t xml:space="preserve">Protection </w:t>
      </w:r>
      <w:r w:rsidR="00BF7CB5">
        <w:t>A</w:t>
      </w:r>
      <w:r w:rsidR="003F0BFA">
        <w:t xml:space="preserve">fforded to </w:t>
      </w:r>
      <w:r w:rsidR="00285684">
        <w:t xml:space="preserve">the </w:t>
      </w:r>
      <w:r w:rsidR="004B671A">
        <w:t>Responsible</w:t>
      </w:r>
      <w:r w:rsidR="00285684">
        <w:t xml:space="preserve"> Operator’s </w:t>
      </w:r>
      <w:r w:rsidR="003F0BFA">
        <w:t>Creditors</w:t>
      </w:r>
      <w:bookmarkEnd w:id="4"/>
    </w:p>
    <w:p w:rsidR="00154A87" w:rsidRDefault="00154A87" w:rsidP="00E81F7B">
      <w:pPr>
        <w:pStyle w:val="PhDParagraph"/>
        <w:ind w:firstLine="0"/>
      </w:pPr>
    </w:p>
    <w:p w:rsidR="00EC6EF8" w:rsidRDefault="002E50B5" w:rsidP="007E586B">
      <w:pPr>
        <w:pStyle w:val="PhDParagraph"/>
        <w:ind w:firstLine="0"/>
      </w:pPr>
      <w:r>
        <w:t>T</w:t>
      </w:r>
      <w:r w:rsidR="00CD02D6">
        <w:t>he</w:t>
      </w:r>
      <w:r w:rsidR="00762206" w:rsidRPr="00762206">
        <w:t xml:space="preserve"> protection </w:t>
      </w:r>
      <w:r w:rsidR="00FA4EA1">
        <w:t>afforded to</w:t>
      </w:r>
      <w:r w:rsidR="00762206" w:rsidRPr="00762206">
        <w:t xml:space="preserve"> </w:t>
      </w:r>
      <w:r w:rsidR="002E1E35" w:rsidRPr="00762206">
        <w:t xml:space="preserve">the </w:t>
      </w:r>
      <w:r w:rsidR="004B671A">
        <w:t>responsible</w:t>
      </w:r>
      <w:r w:rsidR="002E1E35" w:rsidRPr="00762206">
        <w:t xml:space="preserve"> operator</w:t>
      </w:r>
      <w:r w:rsidR="002E1E35">
        <w:t xml:space="preserve">’s </w:t>
      </w:r>
      <w:r w:rsidR="00762206" w:rsidRPr="00762206">
        <w:t xml:space="preserve">creditors </w:t>
      </w:r>
      <w:r w:rsidR="00CD02D6">
        <w:t xml:space="preserve">under </w:t>
      </w:r>
      <w:r w:rsidR="005A0170">
        <w:t>insolvency law</w:t>
      </w:r>
      <w:r w:rsidR="00CD02D6">
        <w:t xml:space="preserve"> </w:t>
      </w:r>
      <w:r w:rsidR="00762206">
        <w:t xml:space="preserve">may </w:t>
      </w:r>
      <w:r>
        <w:t xml:space="preserve">also </w:t>
      </w:r>
      <w:r w:rsidR="002B1C0F">
        <w:t>impact upon</w:t>
      </w:r>
      <w:r w:rsidR="00762206">
        <w:t xml:space="preserve"> the remedial capacity of </w:t>
      </w:r>
      <w:r w:rsidR="00BD49E9" w:rsidRPr="00BD49E9">
        <w:t>self-insurance</w:t>
      </w:r>
      <w:r w:rsidR="004B7F0D">
        <w:t>, and consequently upon society as residual risk-bearer</w:t>
      </w:r>
      <w:r w:rsidR="00136364">
        <w:t xml:space="preserve"> of any externalised costs</w:t>
      </w:r>
      <w:r w:rsidR="00762206">
        <w:t xml:space="preserve">. </w:t>
      </w:r>
      <w:r w:rsidR="00CE6F45">
        <w:t>This</w:t>
      </w:r>
      <w:r w:rsidR="00E845C5">
        <w:t xml:space="preserve"> </w:t>
      </w:r>
      <w:r w:rsidR="002B1C0F">
        <w:t xml:space="preserve">stems </w:t>
      </w:r>
      <w:r w:rsidR="008F084C">
        <w:t xml:space="preserve">principally </w:t>
      </w:r>
      <w:r w:rsidR="002B1C0F">
        <w:t>from the fact</w:t>
      </w:r>
      <w:r w:rsidR="008F084C">
        <w:t>, detailed above,</w:t>
      </w:r>
      <w:r w:rsidR="002B1C0F">
        <w:t xml:space="preserve"> that </w:t>
      </w:r>
      <w:r w:rsidR="00BD49E9" w:rsidRPr="00BD49E9">
        <w:t xml:space="preserve">self-insurance </w:t>
      </w:r>
      <w:r w:rsidR="00E845C5" w:rsidRPr="007A3150">
        <w:t>does not require specific finan</w:t>
      </w:r>
      <w:r w:rsidR="00CE6F45">
        <w:t xml:space="preserve">cial assets or funds </w:t>
      </w:r>
      <w:r w:rsidR="00072144">
        <w:t>to be set aside to meet</w:t>
      </w:r>
      <w:r w:rsidR="008F084C">
        <w:t xml:space="preserve"> prevention, remediation or restoration costs </w:t>
      </w:r>
      <w:r w:rsidR="00072144">
        <w:t>which a regulator</w:t>
      </w:r>
      <w:r w:rsidR="008F084C">
        <w:t xml:space="preserve"> has incurred</w:t>
      </w:r>
      <w:r w:rsidR="00136364">
        <w:t>, or will incur in the future</w:t>
      </w:r>
      <w:r w:rsidR="00E845C5">
        <w:t>.</w:t>
      </w:r>
      <w:r w:rsidR="00E845C5">
        <w:rPr>
          <w:rFonts w:cs="Arial"/>
        </w:rPr>
        <w:t xml:space="preserve"> </w:t>
      </w:r>
      <w:r>
        <w:rPr>
          <w:rFonts w:cs="Arial"/>
        </w:rPr>
        <w:t xml:space="preserve">The following three scenarios </w:t>
      </w:r>
      <w:r w:rsidR="00EA6D99">
        <w:t xml:space="preserve">demonstrate the potential shortcomings of </w:t>
      </w:r>
      <w:r w:rsidR="00E07A11" w:rsidRPr="00E07A11">
        <w:t>self-insurance</w:t>
      </w:r>
      <w:r w:rsidR="00EA6D99">
        <w:t xml:space="preserve">’s remedial capacity in circumstances in which the operator enters into liquidation. </w:t>
      </w:r>
      <w:r w:rsidR="001F58B5">
        <w:t>These scenarios also apply to environmental liabilities that arise in the absence of financial security to cover them</w:t>
      </w:r>
      <w:r w:rsidR="000731A3">
        <w:t>, such as where a regulator fails to demand its provision</w:t>
      </w:r>
      <w:r w:rsidR="001F58B5">
        <w:t xml:space="preserve">. </w:t>
      </w:r>
    </w:p>
    <w:p w:rsidR="007E586B" w:rsidRPr="00EC6EF8" w:rsidRDefault="007E586B" w:rsidP="007165EB">
      <w:pPr>
        <w:pStyle w:val="PhDParagraph"/>
      </w:pPr>
    </w:p>
    <w:p w:rsidR="00DD5C45" w:rsidRDefault="00C9715D" w:rsidP="00C9715D">
      <w:pPr>
        <w:pStyle w:val="Heading3"/>
        <w:numPr>
          <w:ilvl w:val="0"/>
          <w:numId w:val="0"/>
        </w:numPr>
      </w:pPr>
      <w:bookmarkStart w:id="5" w:name="_Ref427815204"/>
      <w:bookmarkStart w:id="6" w:name="_Ref430931742"/>
      <w:r>
        <w:t xml:space="preserve">(a) </w:t>
      </w:r>
      <w:r w:rsidR="00DD5C45">
        <w:t xml:space="preserve">Scenario 1: </w:t>
      </w:r>
      <w:bookmarkEnd w:id="5"/>
      <w:r w:rsidRPr="00A3146C">
        <w:t xml:space="preserve">Cost Recovery Following Disclaimer </w:t>
      </w:r>
      <w:r>
        <w:t>of</w:t>
      </w:r>
      <w:r w:rsidRPr="00A3146C">
        <w:t xml:space="preserve"> Onerous Property</w:t>
      </w:r>
      <w:bookmarkEnd w:id="6"/>
    </w:p>
    <w:p w:rsidR="00A3146C" w:rsidRPr="00A3146C" w:rsidRDefault="00A3146C" w:rsidP="007165EB">
      <w:pPr>
        <w:pStyle w:val="PhDParagraph"/>
      </w:pPr>
    </w:p>
    <w:p w:rsidR="00A3146C" w:rsidRPr="001908BD" w:rsidRDefault="00A3146C" w:rsidP="00072144">
      <w:pPr>
        <w:pStyle w:val="PhDParagraphnoIdent"/>
      </w:pPr>
      <w:r w:rsidRPr="00A3146C">
        <w:t xml:space="preserve">In the first scenario, a liquidator appointed over an insolvent, </w:t>
      </w:r>
      <w:r w:rsidR="00E07A11">
        <w:t>self-insuring</w:t>
      </w:r>
      <w:r w:rsidRPr="00A3146C">
        <w:t xml:space="preserve"> operator utilises </w:t>
      </w:r>
      <w:r w:rsidR="00CE5E69">
        <w:t>its</w:t>
      </w:r>
      <w:r w:rsidRPr="00A3146C">
        <w:t xml:space="preserve"> power u</w:t>
      </w:r>
      <w:r w:rsidR="00CE5E69">
        <w:t>nder s</w:t>
      </w:r>
      <w:r w:rsidR="00A27456">
        <w:t>ection</w:t>
      </w:r>
      <w:r w:rsidR="00CE5E69">
        <w:t xml:space="preserve"> 178 IA 1986 to disclaim </w:t>
      </w:r>
      <w:r w:rsidR="000731A3">
        <w:t>‘</w:t>
      </w:r>
      <w:r w:rsidR="00CE5E69">
        <w:t>onerous property</w:t>
      </w:r>
      <w:r w:rsidR="000731A3">
        <w:t>’</w:t>
      </w:r>
      <w:r w:rsidRPr="00A3146C">
        <w:t xml:space="preserve"> owned by the operator.</w:t>
      </w:r>
      <w:r w:rsidRPr="00A3146C">
        <w:rPr>
          <w:vertAlign w:val="superscript"/>
        </w:rPr>
        <w:footnoteReference w:id="98"/>
      </w:r>
      <w:r w:rsidRPr="00A3146C">
        <w:t xml:space="preserve"> Successful invocation of this power</w:t>
      </w:r>
      <w:r w:rsidR="00695D6E" w:rsidRPr="00A3146C">
        <w:t xml:space="preserve"> </w:t>
      </w:r>
      <w:r w:rsidR="007E586B">
        <w:t>bring</w:t>
      </w:r>
      <w:r w:rsidR="00BF4C82">
        <w:t>s</w:t>
      </w:r>
      <w:r w:rsidR="007E586B">
        <w:t xml:space="preserve"> to an </w:t>
      </w:r>
      <w:r w:rsidRPr="00A3146C">
        <w:t xml:space="preserve">end </w:t>
      </w:r>
      <w:r w:rsidR="00D121E1">
        <w:t xml:space="preserve">both </w:t>
      </w:r>
      <w:r w:rsidRPr="00A3146C">
        <w:t xml:space="preserve">the operator’s liabilities </w:t>
      </w:r>
      <w:r w:rsidR="00D121E1">
        <w:t xml:space="preserve">and rights </w:t>
      </w:r>
      <w:r w:rsidRPr="00A3146C">
        <w:t>in res</w:t>
      </w:r>
      <w:r w:rsidR="00A70974">
        <w:t xml:space="preserve">pect of the </w:t>
      </w:r>
      <w:r w:rsidR="00A70974" w:rsidRPr="00D04D04">
        <w:t>property disclaimed</w:t>
      </w:r>
      <w:r w:rsidR="00D121E1">
        <w:t>.</w:t>
      </w:r>
      <w:r w:rsidR="00A70974" w:rsidRPr="00D04D04">
        <w:rPr>
          <w:vertAlign w:val="superscript"/>
        </w:rPr>
        <w:footnoteReference w:id="99"/>
      </w:r>
      <w:r w:rsidR="00D121E1">
        <w:t xml:space="preserve"> </w:t>
      </w:r>
      <w:r w:rsidR="00760CF5">
        <w:t>This</w:t>
      </w:r>
      <w:r w:rsidR="00D04D04">
        <w:t xml:space="preserve"> is </w:t>
      </w:r>
      <w:r w:rsidR="00D121E1">
        <w:t>intended</w:t>
      </w:r>
      <w:r w:rsidR="00D04D04">
        <w:t xml:space="preserve"> to</w:t>
      </w:r>
      <w:r w:rsidR="00A70974">
        <w:t xml:space="preserve"> facilitat</w:t>
      </w:r>
      <w:r w:rsidR="001C3DF6">
        <w:t>e</w:t>
      </w:r>
      <w:r w:rsidR="00A70974">
        <w:t xml:space="preserve"> a</w:t>
      </w:r>
      <w:r w:rsidR="00A70974" w:rsidRPr="00A70974">
        <w:t xml:space="preserve"> </w:t>
      </w:r>
      <w:r w:rsidR="00A70974" w:rsidRPr="00A3146C">
        <w:t>prompt windi</w:t>
      </w:r>
      <w:r w:rsidR="00A70974">
        <w:t>ng-up of the operator’s affair</w:t>
      </w:r>
      <w:r w:rsidR="001C3DF6">
        <w:t>s</w:t>
      </w:r>
      <w:r w:rsidR="00335311">
        <w:t>,</w:t>
      </w:r>
      <w:r w:rsidR="00335311">
        <w:rPr>
          <w:rStyle w:val="FootnoteReference"/>
          <w:rFonts w:cs="Arial"/>
        </w:rPr>
        <w:footnoteReference w:id="100"/>
      </w:r>
      <w:r w:rsidR="001908BD">
        <w:t xml:space="preserve"> and </w:t>
      </w:r>
      <w:r w:rsidR="001C3DF6">
        <w:t>ensures that the funds realised in the winding-up are not committed to a single creditor</w:t>
      </w:r>
      <w:r w:rsidR="001908BD">
        <w:t xml:space="preserve">. The power may, therefore, be seen to benefit the general </w:t>
      </w:r>
      <w:r w:rsidR="00FB3FAA">
        <w:t>body</w:t>
      </w:r>
      <w:r w:rsidR="001908BD">
        <w:t xml:space="preserve"> of creditors by ensuring that </w:t>
      </w:r>
      <w:r w:rsidR="00692753">
        <w:t xml:space="preserve">the </w:t>
      </w:r>
      <w:r w:rsidR="001908BD">
        <w:t>pool</w:t>
      </w:r>
      <w:r w:rsidR="00692753">
        <w:t xml:space="preserve"> of funds and assets</w:t>
      </w:r>
      <w:r w:rsidR="001908BD">
        <w:t xml:space="preserve"> available for distribution is not diminished further.</w:t>
      </w:r>
      <w:r w:rsidR="001908BD">
        <w:rPr>
          <w:rStyle w:val="FootnoteReference"/>
          <w:rFonts w:cs="Arial"/>
        </w:rPr>
        <w:footnoteReference w:id="101"/>
      </w:r>
      <w:r w:rsidR="001908BD">
        <w:t xml:space="preserve"> ‘</w:t>
      </w:r>
      <w:r w:rsidR="00CE5E69">
        <w:t>Onerous property</w:t>
      </w:r>
      <w:r w:rsidR="001908BD">
        <w:t>’</w:t>
      </w:r>
      <w:r w:rsidRPr="00A3146C">
        <w:t xml:space="preserve"> is defined under the Act as</w:t>
      </w:r>
      <w:r w:rsidR="001908BD">
        <w:t xml:space="preserve"> any unprofitable </w:t>
      </w:r>
      <w:r w:rsidR="001908BD">
        <w:lastRenderedPageBreak/>
        <w:t>contract or</w:t>
      </w:r>
      <w:r w:rsidR="00CE5E69">
        <w:t xml:space="preserve"> </w:t>
      </w:r>
      <w:r w:rsidR="001908BD">
        <w:t>‘</w:t>
      </w:r>
      <w:r w:rsidR="00D121E1">
        <w:t>...</w:t>
      </w:r>
      <w:r w:rsidRPr="00A3146C">
        <w:t xml:space="preserve">any other property of the company which is </w:t>
      </w:r>
      <w:r w:rsidRPr="00A3146C">
        <w:rPr>
          <w:i/>
        </w:rPr>
        <w:t>unsaleable</w:t>
      </w:r>
      <w:r w:rsidRPr="00A3146C">
        <w:t xml:space="preserve"> or </w:t>
      </w:r>
      <w:r w:rsidRPr="00A3146C">
        <w:rPr>
          <w:i/>
        </w:rPr>
        <w:t>not readily saleable</w:t>
      </w:r>
      <w:r w:rsidRPr="00A3146C">
        <w:t xml:space="preserve"> or is such that it </w:t>
      </w:r>
      <w:r w:rsidRPr="00A3146C">
        <w:rPr>
          <w:i/>
        </w:rPr>
        <w:t>may give rise to a liability to pay money or perform any other onerous act</w:t>
      </w:r>
      <w:r w:rsidR="001908BD">
        <w:t>.’</w:t>
      </w:r>
      <w:r w:rsidRPr="00A3146C">
        <w:rPr>
          <w:vertAlign w:val="superscript"/>
        </w:rPr>
        <w:footnoteReference w:id="102"/>
      </w:r>
      <w:r w:rsidRPr="00A3146C">
        <w:t xml:space="preserve"> Land which has, or may have, been contaminated by the operator’s activities, and to which significant remediation is or may be required, seems to fall comfortably within this definition. So too would</w:t>
      </w:r>
      <w:r w:rsidR="00BF4C82">
        <w:t xml:space="preserve"> </w:t>
      </w:r>
      <w:r w:rsidRPr="00A3146C">
        <w:t>a mine</w:t>
      </w:r>
      <w:r w:rsidR="006A3E10">
        <w:t xml:space="preserve">, quarry or landfill </w:t>
      </w:r>
      <w:r w:rsidRPr="00A3146C">
        <w:t>to which significant restoration obligations were required</w:t>
      </w:r>
      <w:r w:rsidR="001D3358">
        <w:t xml:space="preserve"> or</w:t>
      </w:r>
      <w:r w:rsidR="00D121E1">
        <w:t>, indeed,</w:t>
      </w:r>
      <w:r w:rsidRPr="00A3146C">
        <w:t xml:space="preserve"> </w:t>
      </w:r>
      <w:r w:rsidR="00D121E1">
        <w:t>a</w:t>
      </w:r>
      <w:r w:rsidRPr="00A3146C">
        <w:t xml:space="preserve"> </w:t>
      </w:r>
      <w:r w:rsidR="001C4FE9" w:rsidRPr="001C4FE9">
        <w:t xml:space="preserve">permit under the </w:t>
      </w:r>
      <w:r w:rsidR="00CE5E69">
        <w:t>EPR</w:t>
      </w:r>
      <w:r w:rsidR="001C4FE9">
        <w:t>.</w:t>
      </w:r>
      <w:r w:rsidRPr="00A3146C">
        <w:rPr>
          <w:vertAlign w:val="superscript"/>
        </w:rPr>
        <w:footnoteReference w:id="103"/>
      </w:r>
      <w:r w:rsidR="001D3358">
        <w:t xml:space="preserve"> If </w:t>
      </w:r>
      <w:r w:rsidR="006A3E10">
        <w:t>so</w:t>
      </w:r>
      <w:r w:rsidR="001D3358">
        <w:t xml:space="preserve">, </w:t>
      </w:r>
      <w:r w:rsidR="0043569C">
        <w:t>they</w:t>
      </w:r>
      <w:r w:rsidR="001D3358">
        <w:t xml:space="preserve"> could be disclaimed.</w:t>
      </w:r>
    </w:p>
    <w:p w:rsidR="00F759EE" w:rsidRDefault="00A3146C" w:rsidP="00760CF5">
      <w:pPr>
        <w:pStyle w:val="PhDParagraph"/>
      </w:pPr>
      <w:r w:rsidRPr="00A3146C">
        <w:t>Importantly, disclaimer does not affect the rights or liabilities of any person other than the company.</w:t>
      </w:r>
      <w:r w:rsidRPr="00A3146C">
        <w:rPr>
          <w:vertAlign w:val="superscript"/>
        </w:rPr>
        <w:footnoteReference w:id="104"/>
      </w:r>
      <w:r w:rsidRPr="00A3146C">
        <w:t xml:space="preserve"> For example, the rights and liabilities of guarantors</w:t>
      </w:r>
      <w:r w:rsidRPr="00A3146C">
        <w:rPr>
          <w:vertAlign w:val="superscript"/>
        </w:rPr>
        <w:footnoteReference w:id="105"/>
      </w:r>
      <w:r w:rsidRPr="00A3146C">
        <w:t xml:space="preserve"> and sureties</w:t>
      </w:r>
      <w:r w:rsidRPr="00A3146C">
        <w:rPr>
          <w:vertAlign w:val="superscript"/>
        </w:rPr>
        <w:footnoteReference w:id="106"/>
      </w:r>
      <w:r w:rsidRPr="00A3146C">
        <w:t xml:space="preserve"> for a tenant’s obligation under a lease have been found to be preserved following its disclaimer. Through analogy, this would </w:t>
      </w:r>
      <w:r w:rsidR="00032046">
        <w:t>suggest</w:t>
      </w:r>
      <w:r w:rsidR="001D3358">
        <w:t xml:space="preserve"> that even where a contaminated or </w:t>
      </w:r>
      <w:r w:rsidRPr="00A3146C">
        <w:t>environmentally damage</w:t>
      </w:r>
      <w:r w:rsidR="001D3358">
        <w:t>d site or unrestored mine</w:t>
      </w:r>
      <w:r w:rsidR="00D121E1">
        <w:t xml:space="preserve">, or a </w:t>
      </w:r>
      <w:r w:rsidRPr="00A3146C">
        <w:t xml:space="preserve">permit </w:t>
      </w:r>
      <w:r w:rsidR="00D121E1">
        <w:t xml:space="preserve">under the EPR </w:t>
      </w:r>
      <w:r w:rsidRPr="00A3146C">
        <w:t>was disclaimed, any financial security, such as a surety, bond or guarantee provided by a financial institution, or guarantee provided by a parent company, would remain intact. In such circumstances, the residual risk to which society is exposed would be reduced</w:t>
      </w:r>
      <w:r w:rsidR="00BF4C82" w:rsidRPr="00BF4C82">
        <w:t xml:space="preserve"> </w:t>
      </w:r>
      <w:r w:rsidR="00BF4C82">
        <w:t>significantly</w:t>
      </w:r>
      <w:r w:rsidRPr="00A3146C">
        <w:t xml:space="preserve">. A third-party would, depending upon the construction of the terms of the relevant instrument, be required under contract to meet the operator’s environmental </w:t>
      </w:r>
      <w:r w:rsidR="00BF4C82">
        <w:t>liabilities</w:t>
      </w:r>
      <w:r w:rsidRPr="00A3146C">
        <w:t xml:space="preserve"> or, at the very least, a proportion of them. </w:t>
      </w:r>
    </w:p>
    <w:p w:rsidR="00A3146C" w:rsidRPr="00213EA9" w:rsidRDefault="00A3146C" w:rsidP="00760CF5">
      <w:pPr>
        <w:pStyle w:val="PhDParagraph"/>
      </w:pPr>
      <w:r w:rsidRPr="00A3146C">
        <w:t xml:space="preserve">This option to </w:t>
      </w:r>
      <w:r w:rsidR="00F25356">
        <w:t>‘</w:t>
      </w:r>
      <w:r w:rsidR="00CE5E69">
        <w:t>default</w:t>
      </w:r>
      <w:r w:rsidR="00F25356">
        <w:t>’</w:t>
      </w:r>
      <w:r w:rsidRPr="00A3146C">
        <w:t xml:space="preserve"> to a third-party in situations of insolvency is not, typically, available with </w:t>
      </w:r>
      <w:r w:rsidR="00E07A11" w:rsidRPr="00E07A11">
        <w:t>self-insurance</w:t>
      </w:r>
      <w:r w:rsidRPr="00A3146C">
        <w:t xml:space="preserve">, the exception being where </w:t>
      </w:r>
      <w:r w:rsidR="00F759EE">
        <w:t>the regulator has demanded a</w:t>
      </w:r>
      <w:r w:rsidRPr="00A3146C">
        <w:t xml:space="preserve"> guarantee</w:t>
      </w:r>
      <w:r w:rsidR="00F759EE">
        <w:t xml:space="preserve"> or self-bond from the parent company</w:t>
      </w:r>
      <w:r w:rsidRPr="00A3146C">
        <w:t xml:space="preserve">. </w:t>
      </w:r>
      <w:r w:rsidR="00EC6FCB" w:rsidRPr="0017568B">
        <w:t xml:space="preserve">Whilst </w:t>
      </w:r>
      <w:r w:rsidR="00F759EE">
        <w:t>these</w:t>
      </w:r>
      <w:r w:rsidR="00EC6FCB" w:rsidRPr="0017568B">
        <w:t xml:space="preserve"> contractually overrid</w:t>
      </w:r>
      <w:r w:rsidR="00EC6FCB">
        <w:t>e</w:t>
      </w:r>
      <w:r w:rsidR="00EC6FCB" w:rsidRPr="0017568B">
        <w:t xml:space="preserve"> the parent’s </w:t>
      </w:r>
      <w:r w:rsidR="00475B25">
        <w:t xml:space="preserve">de facto </w:t>
      </w:r>
      <w:r w:rsidR="00EC6FCB" w:rsidRPr="0017568B">
        <w:t>immunity</w:t>
      </w:r>
      <w:r w:rsidR="00C73EA6">
        <w:t xml:space="preserve"> </w:t>
      </w:r>
      <w:r w:rsidR="00EC6FCB" w:rsidRPr="0017568B">
        <w:t xml:space="preserve">from </w:t>
      </w:r>
      <w:r w:rsidR="007B5028">
        <w:t xml:space="preserve">environmental </w:t>
      </w:r>
      <w:r w:rsidR="00EC6FCB" w:rsidRPr="0017568B">
        <w:t>liabilities arising from its subsidiary</w:t>
      </w:r>
      <w:r w:rsidR="007B5028">
        <w:t xml:space="preserve">’s </w:t>
      </w:r>
      <w:r w:rsidR="007B5028">
        <w:lastRenderedPageBreak/>
        <w:t>activities</w:t>
      </w:r>
      <w:r w:rsidR="00F759EE">
        <w:t>,</w:t>
      </w:r>
      <w:r w:rsidR="00C73EA6">
        <w:rPr>
          <w:rStyle w:val="FootnoteReference"/>
        </w:rPr>
        <w:footnoteReference w:id="107"/>
      </w:r>
      <w:r w:rsidR="00F759EE">
        <w:t xml:space="preserve"> </w:t>
      </w:r>
      <w:r w:rsidR="00760CF5">
        <w:t>they cannot</w:t>
      </w:r>
      <w:r w:rsidR="00EC6FCB" w:rsidRPr="0017568B">
        <w:t xml:space="preserve"> ensure that costs </w:t>
      </w:r>
      <w:r w:rsidR="00760CF5">
        <w:t>will</w:t>
      </w:r>
      <w:r w:rsidR="00EC6FCB" w:rsidRPr="0017568B">
        <w:t xml:space="preserve"> not </w:t>
      </w:r>
      <w:r w:rsidR="00760CF5">
        <w:t xml:space="preserve">be </w:t>
      </w:r>
      <w:r w:rsidR="007B5028">
        <w:t>passed on to society</w:t>
      </w:r>
      <w:r w:rsidR="00EC6FCB" w:rsidRPr="0017568B">
        <w:t xml:space="preserve">. </w:t>
      </w:r>
      <w:r w:rsidR="00EC6FCB" w:rsidRPr="00A3146C">
        <w:t>Even with such a guarantee</w:t>
      </w:r>
      <w:r w:rsidR="007B5028">
        <w:t xml:space="preserve"> or bond</w:t>
      </w:r>
      <w:r w:rsidR="00EC6FCB" w:rsidRPr="00A3146C">
        <w:t>, the parent company may have suffered financially as a result of its subsidiary’s insolvency and this could affect its ability to meet its subsidiary’s environmental obligations.</w:t>
      </w:r>
      <w:r w:rsidR="00213EA9">
        <w:t xml:space="preserve"> Furthermore,</w:t>
      </w:r>
      <w:r w:rsidR="00EC6FCB" w:rsidRPr="00A3146C">
        <w:t xml:space="preserve"> </w:t>
      </w:r>
      <w:r w:rsidR="00213EA9">
        <w:t>as noted</w:t>
      </w:r>
      <w:r w:rsidR="00EC6FCB" w:rsidRPr="0017568B">
        <w:t xml:space="preserve"> by one regulator following the failure of self-bonds </w:t>
      </w:r>
      <w:r w:rsidR="00213EA9">
        <w:t>in</w:t>
      </w:r>
      <w:r w:rsidR="00EC6FCB" w:rsidRPr="0017568B">
        <w:t xml:space="preserve"> </w:t>
      </w:r>
      <w:r w:rsidR="00213EA9">
        <w:t xml:space="preserve">the </w:t>
      </w:r>
      <w:r w:rsidR="00F25356" w:rsidRPr="00B166D3">
        <w:t xml:space="preserve">US </w:t>
      </w:r>
      <w:r w:rsidR="00EC6FCB" w:rsidRPr="00B166D3">
        <w:t>mining</w:t>
      </w:r>
      <w:r w:rsidR="00213EA9" w:rsidRPr="00B166D3">
        <w:t xml:space="preserve"> sector</w:t>
      </w:r>
      <w:r w:rsidR="007B5028" w:rsidRPr="00B166D3">
        <w:t xml:space="preserve"> </w:t>
      </w:r>
      <w:r w:rsidR="00F25356" w:rsidRPr="00B166D3">
        <w:t>‘</w:t>
      </w:r>
      <w:r w:rsidR="007B5028" w:rsidRPr="00B166D3">
        <w:t>...</w:t>
      </w:r>
      <w:r w:rsidR="00EC6FCB" w:rsidRPr="00B166D3">
        <w:t>the corporate guarantee contains all the risks of the financial test, in</w:t>
      </w:r>
      <w:r w:rsidR="00EC6FCB" w:rsidRPr="0017568B">
        <w:t xml:space="preserve"> addition to the risk that a corporate parent faced with environmental problems and a failing subsidiary may seek to limit their liability f</w:t>
      </w:r>
      <w:r w:rsidR="007B5028">
        <w:t>or the subsidiary’s obligations</w:t>
      </w:r>
      <w:r w:rsidR="00EC6FCB" w:rsidRPr="0017568B">
        <w:t>.</w:t>
      </w:r>
      <w:r w:rsidR="00F25356">
        <w:t>’</w:t>
      </w:r>
      <w:r w:rsidR="00EC6FCB" w:rsidRPr="0017568B">
        <w:rPr>
          <w:vertAlign w:val="superscript"/>
        </w:rPr>
        <w:footnoteReference w:id="108"/>
      </w:r>
      <w:r w:rsidR="00EC6FCB">
        <w:t xml:space="preserve"> </w:t>
      </w:r>
      <w:r w:rsidRPr="00A3146C">
        <w:t xml:space="preserve">Thus, </w:t>
      </w:r>
      <w:r w:rsidR="00E07A11" w:rsidRPr="00E07A11">
        <w:t>self-insurance</w:t>
      </w:r>
      <w:r w:rsidRPr="00A3146C">
        <w:t xml:space="preserve"> is particularly exposed to the externalisation of costs facilitated by disclaimer in a manner in which insurance, trust funds or surety bonds, for example, are not. Indeed, with these forms of financial security, a regulator </w:t>
      </w:r>
      <w:r w:rsidR="001D3358">
        <w:t>need be</w:t>
      </w:r>
      <w:r w:rsidR="00760CF5">
        <w:t xml:space="preserve"> more concerned with their sufficiency than with the</w:t>
      </w:r>
      <w:r w:rsidRPr="00A3146C">
        <w:t xml:space="preserve"> </w:t>
      </w:r>
      <w:r w:rsidR="001D3358">
        <w:t>implications of disclaimer.</w:t>
      </w:r>
    </w:p>
    <w:p w:rsidR="00A3146C" w:rsidRPr="00A3146C" w:rsidRDefault="00A3146C" w:rsidP="00760CF5">
      <w:pPr>
        <w:pStyle w:val="PhDParagraph"/>
      </w:pPr>
      <w:r w:rsidRPr="00A3146C">
        <w:t xml:space="preserve">A liquidator’s ability to disclaim onerous property presents a direct and significant hindrance to a regulator’s attempt to recover costs which it has incurred, or may need to incur, in fulfilling the </w:t>
      </w:r>
      <w:r w:rsidR="00E07A11">
        <w:t>self-insuring</w:t>
      </w:r>
      <w:r w:rsidRPr="00A3146C">
        <w:t xml:space="preserve"> operator’s environmental obligations.</w:t>
      </w:r>
      <w:r w:rsidRPr="00A3146C">
        <w:rPr>
          <w:vertAlign w:val="superscript"/>
        </w:rPr>
        <w:footnoteReference w:id="109"/>
      </w:r>
      <w:r w:rsidRPr="00A3146C">
        <w:t xml:space="preserve"> The recovery may be hindered in two distinct situations, each deriving from </w:t>
      </w:r>
      <w:r w:rsidR="005F780A">
        <w:t>this</w:t>
      </w:r>
      <w:r w:rsidRPr="00A3146C">
        <w:t xml:space="preserve"> lack of a dedicated insurance policy, bond, </w:t>
      </w:r>
      <w:r w:rsidR="00634036">
        <w:t xml:space="preserve">or </w:t>
      </w:r>
      <w:r w:rsidRPr="00A3146C">
        <w:t xml:space="preserve">trust fund against which to recover inherent to </w:t>
      </w:r>
      <w:r w:rsidR="00E07A11" w:rsidRPr="00E07A11">
        <w:t>self-insurance</w:t>
      </w:r>
      <w:r w:rsidRPr="00A3146C">
        <w:t xml:space="preserve">. </w:t>
      </w:r>
      <w:r w:rsidRPr="00C47A2B">
        <w:t>Firstly, where the regulator has undertaken the necessary works but was unsuccessful in recovering the associated costs from the operator prior to its insolvency</w:t>
      </w:r>
      <w:r w:rsidR="00634036">
        <w:t>;</w:t>
      </w:r>
      <w:r w:rsidRPr="00C47A2B">
        <w:rPr>
          <w:vertAlign w:val="superscript"/>
        </w:rPr>
        <w:footnoteReference w:id="110"/>
      </w:r>
      <w:r w:rsidRPr="00C47A2B">
        <w:t xml:space="preserve"> </w:t>
      </w:r>
      <w:r w:rsidR="00634036">
        <w:t>t</w:t>
      </w:r>
      <w:r w:rsidRPr="00C47A2B">
        <w:t xml:space="preserve">he question here is whether the </w:t>
      </w:r>
      <w:r w:rsidRPr="00C47A2B">
        <w:lastRenderedPageBreak/>
        <w:t>regulator can prove for these costs in the winding-up. Secondly, where the requisite works remain outstanding at the</w:t>
      </w:r>
      <w:r w:rsidRPr="00A3146C">
        <w:t xml:space="preserve"> commencement of liquidation</w:t>
      </w:r>
      <w:r w:rsidR="00634036">
        <w:t>;</w:t>
      </w:r>
      <w:r w:rsidRPr="00A3146C">
        <w:t xml:space="preserve"> </w:t>
      </w:r>
      <w:r w:rsidR="00634036">
        <w:t>t</w:t>
      </w:r>
      <w:r w:rsidRPr="00A3146C">
        <w:t xml:space="preserve">he question here is whether it can prove in respect of the costs of undertaking the outstanding works. </w:t>
      </w:r>
    </w:p>
    <w:p w:rsidR="00A3146C" w:rsidRPr="00A3146C" w:rsidRDefault="00A3146C" w:rsidP="00760CF5">
      <w:pPr>
        <w:pStyle w:val="PhDParagraph"/>
      </w:pPr>
      <w:r w:rsidRPr="00A3146C">
        <w:t xml:space="preserve">To </w:t>
      </w:r>
      <w:r w:rsidR="005F780A">
        <w:t>deal</w:t>
      </w:r>
      <w:r w:rsidRPr="00A3146C">
        <w:t xml:space="preserve"> first </w:t>
      </w:r>
      <w:r w:rsidR="005F780A">
        <w:t xml:space="preserve">with </w:t>
      </w:r>
      <w:r w:rsidRPr="00A3146C">
        <w:t>the situation where the regulator has undertaken the works</w:t>
      </w:r>
      <w:r w:rsidR="003C559F">
        <w:t>, u</w:t>
      </w:r>
      <w:r w:rsidRPr="00A3146C">
        <w:t>nder s</w:t>
      </w:r>
      <w:r w:rsidR="00634036">
        <w:t>ection</w:t>
      </w:r>
      <w:r w:rsidRPr="00A3146C">
        <w:t xml:space="preserve"> 178(</w:t>
      </w:r>
      <w:r w:rsidR="00303A4D">
        <w:t>6</w:t>
      </w:r>
      <w:r w:rsidR="00B166D3">
        <w:t>) IA 1986, any person</w:t>
      </w:r>
      <w:r w:rsidRPr="00A3146C">
        <w:t xml:space="preserve"> </w:t>
      </w:r>
      <w:r w:rsidR="00B166D3">
        <w:t>‘</w:t>
      </w:r>
      <w:r w:rsidRPr="00A3146C">
        <w:t xml:space="preserve">...sustaining loss or damage </w:t>
      </w:r>
      <w:r w:rsidRPr="00A3146C">
        <w:rPr>
          <w:i/>
        </w:rPr>
        <w:t>in consequence</w:t>
      </w:r>
      <w:r w:rsidRPr="00A3146C">
        <w:t xml:space="preserve"> of t</w:t>
      </w:r>
      <w:r w:rsidR="00695D6E">
        <w:t>he operation of a disclaimer...</w:t>
      </w:r>
      <w:r w:rsidR="00B166D3">
        <w:t>’</w:t>
      </w:r>
      <w:r w:rsidRPr="00A3146C">
        <w:t xml:space="preserve"> is deemed </w:t>
      </w:r>
      <w:r w:rsidR="004F668C">
        <w:t xml:space="preserve">to be a creditor of the company </w:t>
      </w:r>
      <w:r w:rsidR="00B166D3">
        <w:t>‘</w:t>
      </w:r>
      <w:r w:rsidR="004F668C">
        <w:t>...</w:t>
      </w:r>
      <w:r w:rsidR="004F668C" w:rsidRPr="004F668C">
        <w:rPr>
          <w:i/>
        </w:rPr>
        <w:t>to the extent of the loss or damage</w:t>
      </w:r>
      <w:r w:rsidR="004F668C">
        <w:t>...</w:t>
      </w:r>
      <w:r w:rsidR="00B166D3">
        <w:t>’</w:t>
      </w:r>
      <w:r w:rsidR="004F668C" w:rsidRPr="004F668C">
        <w:t xml:space="preserve"> </w:t>
      </w:r>
      <w:r w:rsidRPr="00A3146C">
        <w:t xml:space="preserve">and may seek to recover this in the winding-up. Disclaimer of land which has been contaminated, </w:t>
      </w:r>
      <w:r w:rsidR="00C92ECC">
        <w:t xml:space="preserve">or </w:t>
      </w:r>
      <w:r w:rsidRPr="00A3146C">
        <w:t>suffered environmental damage or to which significant restoration obligations attach, or any burdensome licence or permit end</w:t>
      </w:r>
      <w:r w:rsidR="007E7C82">
        <w:t>s</w:t>
      </w:r>
      <w:r w:rsidRPr="00A3146C">
        <w:t xml:space="preserve"> the operator’s obligations i</w:t>
      </w:r>
      <w:r w:rsidR="00CE5E69">
        <w:t xml:space="preserve">n respect of it. The requisite </w:t>
      </w:r>
      <w:r w:rsidR="007C2DA0">
        <w:t>‘</w:t>
      </w:r>
      <w:r w:rsidRPr="00A3146C">
        <w:t>loss</w:t>
      </w:r>
      <w:r w:rsidR="004F668C">
        <w:t xml:space="preserve"> or damage</w:t>
      </w:r>
      <w:r w:rsidR="007C2DA0">
        <w:t>’</w:t>
      </w:r>
      <w:r w:rsidRPr="00A3146C">
        <w:t xml:space="preserve"> to the regulator would, it seems, be its inability to pursue the operator directly for the costs associated with undertaking the necessary works. If </w:t>
      </w:r>
      <w:r w:rsidR="00604DEE">
        <w:t>so</w:t>
      </w:r>
      <w:r w:rsidRPr="00A3146C">
        <w:t xml:space="preserve">, the regulator would be entitled to recover this </w:t>
      </w:r>
      <w:r w:rsidR="00604DEE">
        <w:t>‘</w:t>
      </w:r>
      <w:r w:rsidRPr="00A3146C">
        <w:t>loss</w:t>
      </w:r>
      <w:r w:rsidR="00604DEE">
        <w:t>’</w:t>
      </w:r>
      <w:r w:rsidRPr="00A3146C">
        <w:t xml:space="preserve"> in the winding-up. </w:t>
      </w:r>
    </w:p>
    <w:p w:rsidR="007F0FDA" w:rsidRDefault="00A3146C" w:rsidP="00760CF5">
      <w:pPr>
        <w:pStyle w:val="PhDParagraph"/>
      </w:pPr>
      <w:r w:rsidRPr="00A3146C">
        <w:t xml:space="preserve">There are, however, two potential issues here for society as residual risk-bearer. These relate to the distinction between </w:t>
      </w:r>
      <w:r w:rsidR="005F780A" w:rsidRPr="00A3146C">
        <w:t>regulators</w:t>
      </w:r>
      <w:r w:rsidRPr="00A3146C">
        <w:t xml:space="preserve"> </w:t>
      </w:r>
      <w:r w:rsidR="00CE5E69">
        <w:t xml:space="preserve">being permitted to recover any </w:t>
      </w:r>
      <w:r w:rsidR="001F4D80">
        <w:t>‘</w:t>
      </w:r>
      <w:r w:rsidR="00CE5E69">
        <w:t>loss or damage</w:t>
      </w:r>
      <w:r w:rsidR="001F4D80">
        <w:t>’</w:t>
      </w:r>
      <w:r w:rsidRPr="00A3146C">
        <w:t xml:space="preserve"> suffered as a result of disclaimer and actually recovering it. Firstly, whilst, in theory, a regulator who undertakes </w:t>
      </w:r>
      <w:r w:rsidR="00454E82">
        <w:t xml:space="preserve">the </w:t>
      </w:r>
      <w:r w:rsidRPr="00A3146C">
        <w:t>works may prove for the entirety of the costs in the liquidation,</w:t>
      </w:r>
      <w:r w:rsidRPr="00A3146C">
        <w:rPr>
          <w:vertAlign w:val="superscript"/>
        </w:rPr>
        <w:footnoteReference w:id="111"/>
      </w:r>
      <w:r w:rsidRPr="00A3146C">
        <w:t xml:space="preserve"> there is little prospect of these costs being recovered in full</w:t>
      </w:r>
      <w:r w:rsidR="00454E82">
        <w:t xml:space="preserve"> </w:t>
      </w:r>
      <w:r w:rsidR="007F0FDA">
        <w:t>and, indeed, they may not be recovered at all.</w:t>
      </w:r>
      <w:r w:rsidRPr="00A3146C">
        <w:t xml:space="preserve"> </w:t>
      </w:r>
      <w:r w:rsidR="003F0045">
        <w:t xml:space="preserve">In </w:t>
      </w:r>
      <w:r w:rsidR="003F0045" w:rsidRPr="003F0045">
        <w:t>a winding up</w:t>
      </w:r>
      <w:r w:rsidR="003F0045">
        <w:t>, the claims of fixed charge holders</w:t>
      </w:r>
      <w:r w:rsidR="006A1B6D">
        <w:t xml:space="preserve"> are paid first, with the </w:t>
      </w:r>
      <w:r w:rsidR="003F0045">
        <w:t>expenses of the winding-</w:t>
      </w:r>
      <w:r w:rsidR="003F0045" w:rsidRPr="003F0045">
        <w:t>up</w:t>
      </w:r>
      <w:r w:rsidR="006F3BFA">
        <w:t>,</w:t>
      </w:r>
      <w:r w:rsidR="007B3920">
        <w:rPr>
          <w:rStyle w:val="FootnoteReference"/>
          <w:rFonts w:cs="Arial"/>
        </w:rPr>
        <w:footnoteReference w:id="112"/>
      </w:r>
      <w:r w:rsidR="006F3BFA">
        <w:t xml:space="preserve"> such as the </w:t>
      </w:r>
      <w:r w:rsidR="006A1B6D">
        <w:t xml:space="preserve">liquidator’s </w:t>
      </w:r>
      <w:r w:rsidR="006F3BFA">
        <w:t>remuneration,</w:t>
      </w:r>
      <w:r w:rsidR="003F0045" w:rsidRPr="003F0045">
        <w:t xml:space="preserve"> </w:t>
      </w:r>
      <w:r w:rsidR="006A1B6D">
        <w:t>being paid next</w:t>
      </w:r>
      <w:r w:rsidR="007B3920">
        <w:t>.</w:t>
      </w:r>
      <w:r w:rsidR="007B3920">
        <w:rPr>
          <w:rStyle w:val="FootnoteReference"/>
          <w:rFonts w:cs="Arial"/>
        </w:rPr>
        <w:footnoteReference w:id="113"/>
      </w:r>
      <w:r w:rsidR="003F0045">
        <w:t xml:space="preserve"> </w:t>
      </w:r>
      <w:r w:rsidR="007B3920">
        <w:t>T</w:t>
      </w:r>
      <w:r w:rsidR="003F0045">
        <w:t>he company’</w:t>
      </w:r>
      <w:r w:rsidR="003F0045" w:rsidRPr="003F0045">
        <w:t>s preferential</w:t>
      </w:r>
      <w:r w:rsidR="007B3920" w:rsidRPr="007B3920">
        <w:t xml:space="preserve"> </w:t>
      </w:r>
      <w:r w:rsidR="007B3920" w:rsidRPr="003F0045">
        <w:t>debts</w:t>
      </w:r>
      <w:r w:rsidR="007B3920">
        <w:t>, ordinary</w:t>
      </w:r>
      <w:r w:rsidR="007B3920">
        <w:rPr>
          <w:rStyle w:val="FootnoteReference"/>
          <w:rFonts w:cs="Arial"/>
        </w:rPr>
        <w:footnoteReference w:id="114"/>
      </w:r>
      <w:r w:rsidR="007B3920">
        <w:t xml:space="preserve"> and secondary,</w:t>
      </w:r>
      <w:r w:rsidR="007B3920">
        <w:rPr>
          <w:rStyle w:val="FootnoteReference"/>
          <w:rFonts w:cs="Arial"/>
        </w:rPr>
        <w:footnoteReference w:id="115"/>
      </w:r>
      <w:r w:rsidR="003F0045" w:rsidRPr="003F0045">
        <w:t xml:space="preserve"> </w:t>
      </w:r>
      <w:r w:rsidR="003F0045">
        <w:t>are</w:t>
      </w:r>
      <w:r w:rsidR="007B3920">
        <w:t xml:space="preserve"> then</w:t>
      </w:r>
      <w:r w:rsidR="003F0045" w:rsidRPr="003F0045">
        <w:t xml:space="preserve"> paid.</w:t>
      </w:r>
      <w:r w:rsidR="003F0045">
        <w:rPr>
          <w:rStyle w:val="FootnoteReference"/>
          <w:rFonts w:cs="Arial"/>
        </w:rPr>
        <w:footnoteReference w:id="116"/>
      </w:r>
      <w:r w:rsidR="003F0045" w:rsidRPr="003F0045">
        <w:t xml:space="preserve"> </w:t>
      </w:r>
      <w:r w:rsidR="006A1B6D">
        <w:lastRenderedPageBreak/>
        <w:t>T</w:t>
      </w:r>
      <w:r w:rsidR="006F3BFA">
        <w:t xml:space="preserve">he claims of the floating charge holders </w:t>
      </w:r>
      <w:r w:rsidR="00DD4A60">
        <w:t>can</w:t>
      </w:r>
      <w:r w:rsidR="006F3BFA">
        <w:t xml:space="preserve">, subject to certain exceptions listed below, then be </w:t>
      </w:r>
      <w:r w:rsidR="006F3BFA" w:rsidRPr="00F1657D">
        <w:t>satisfied.</w:t>
      </w:r>
      <w:r w:rsidR="006F3BFA" w:rsidRPr="00F1657D">
        <w:rPr>
          <w:rStyle w:val="FootnoteReference"/>
          <w:rFonts w:cs="Arial"/>
        </w:rPr>
        <w:footnoteReference w:id="117"/>
      </w:r>
      <w:r w:rsidR="006F3BFA" w:rsidRPr="00F1657D">
        <w:t xml:space="preserve"> </w:t>
      </w:r>
      <w:r w:rsidRPr="00F1657D">
        <w:t xml:space="preserve">It is </w:t>
      </w:r>
      <w:r w:rsidR="006A1B6D">
        <w:t>only at this point</w:t>
      </w:r>
      <w:r w:rsidRPr="00F1657D">
        <w:t xml:space="preserve"> that unsecured, non-preferential creditors, such as the regulator, </w:t>
      </w:r>
      <w:r w:rsidR="005F780A" w:rsidRPr="00F1657D">
        <w:t>can</w:t>
      </w:r>
      <w:r w:rsidRPr="00F1657D">
        <w:t xml:space="preserve"> be paid.</w:t>
      </w:r>
      <w:r w:rsidRPr="00A3146C">
        <w:t xml:space="preserve"> </w:t>
      </w:r>
    </w:p>
    <w:p w:rsidR="00B82582" w:rsidRDefault="007F0FDA" w:rsidP="00760CF5">
      <w:pPr>
        <w:pStyle w:val="PhDParagraph"/>
      </w:pPr>
      <w:r w:rsidRPr="00A76D77">
        <w:t>T</w:t>
      </w:r>
      <w:r w:rsidR="00B83E87" w:rsidRPr="00A76D77">
        <w:t xml:space="preserve">here </w:t>
      </w:r>
      <w:r w:rsidR="00B82582" w:rsidRPr="00A76D77">
        <w:t xml:space="preserve">is, however, </w:t>
      </w:r>
      <w:r w:rsidR="00B83E87" w:rsidRPr="00A76D77">
        <w:t xml:space="preserve">a high possibility that the assets and funds of the </w:t>
      </w:r>
      <w:r w:rsidR="00C47A2B" w:rsidRPr="00A76D77">
        <w:t>operator</w:t>
      </w:r>
      <w:r w:rsidR="00B83E87" w:rsidRPr="00A76D77">
        <w:t xml:space="preserve"> being</w:t>
      </w:r>
      <w:r w:rsidR="00B83E87" w:rsidRPr="00B83E87">
        <w:t xml:space="preserve"> wound-up will be exhausted by </w:t>
      </w:r>
      <w:r>
        <w:t>the time the regulator is in a position to be paid</w:t>
      </w:r>
      <w:r w:rsidR="00A146D8">
        <w:t xml:space="preserve">. </w:t>
      </w:r>
      <w:r w:rsidR="00796E0C">
        <w:t xml:space="preserve">An impact assessment carried out by the Insolvency Service in March 2014 found </w:t>
      </w:r>
      <w:r w:rsidR="00A76D77">
        <w:t>r</w:t>
      </w:r>
      <w:r w:rsidR="00796E0C" w:rsidRPr="00B83E87">
        <w:t xml:space="preserve">eturns paid to unsecured creditors in </w:t>
      </w:r>
      <w:r w:rsidR="00796E0C" w:rsidRPr="00A76D77">
        <w:t xml:space="preserve">liquidation </w:t>
      </w:r>
      <w:r w:rsidR="00A76D77">
        <w:t>to be</w:t>
      </w:r>
      <w:r w:rsidR="00796E0C" w:rsidRPr="00A76D77">
        <w:t xml:space="preserve"> </w:t>
      </w:r>
      <w:r w:rsidR="001F4D80">
        <w:t>‘</w:t>
      </w:r>
      <w:r w:rsidR="00796E0C" w:rsidRPr="00A76D77">
        <w:t>extremely low</w:t>
      </w:r>
      <w:r w:rsidR="001F4D80">
        <w:t>’</w:t>
      </w:r>
      <w:r w:rsidR="00A76D77">
        <w:t xml:space="preserve"> given</w:t>
      </w:r>
      <w:r w:rsidR="00796E0C" w:rsidRPr="00A76D77">
        <w:t xml:space="preserve"> </w:t>
      </w:r>
      <w:r w:rsidR="00A76D77">
        <w:t>that</w:t>
      </w:r>
      <w:r w:rsidR="00796E0C" w:rsidRPr="00A76D77">
        <w:t xml:space="preserve"> the value of assets</w:t>
      </w:r>
      <w:r w:rsidR="00796E0C" w:rsidRPr="00B83E87">
        <w:t xml:space="preserve"> available for distribution </w:t>
      </w:r>
      <w:r w:rsidR="001F4D80">
        <w:t>was often</w:t>
      </w:r>
      <w:r w:rsidR="00796E0C" w:rsidRPr="00B83E87">
        <w:t xml:space="preserve"> low</w:t>
      </w:r>
      <w:r w:rsidR="00A76D77">
        <w:t>.</w:t>
      </w:r>
      <w:r w:rsidR="00796E0C">
        <w:rPr>
          <w:rStyle w:val="FootnoteReference"/>
          <w:rFonts w:cs="Arial"/>
        </w:rPr>
        <w:footnoteReference w:id="118"/>
      </w:r>
      <w:r w:rsidR="00796E0C">
        <w:t xml:space="preserve"> It drew upon data derived </w:t>
      </w:r>
      <w:r w:rsidR="00A76D77">
        <w:t>from</w:t>
      </w:r>
      <w:r w:rsidR="00796E0C">
        <w:t xml:space="preserve"> 2012 which found that the average dividend paid to unsecured creditors in creditors</w:t>
      </w:r>
      <w:r w:rsidR="00B50FD4">
        <w:t>’</w:t>
      </w:r>
      <w:r w:rsidR="00796E0C">
        <w:t xml:space="preserve"> voluntary and compulsory liquidations was </w:t>
      </w:r>
      <w:r w:rsidR="001F4D80">
        <w:t>‘</w:t>
      </w:r>
      <w:r w:rsidR="00796E0C">
        <w:t>effectively zero</w:t>
      </w:r>
      <w:r w:rsidR="001F4D80">
        <w:t>’.</w:t>
      </w:r>
      <w:r w:rsidR="00796E0C">
        <w:rPr>
          <w:rStyle w:val="FootnoteReference"/>
          <w:rFonts w:cs="Arial"/>
        </w:rPr>
        <w:footnoteReference w:id="119"/>
      </w:r>
      <w:r w:rsidR="00796E0C">
        <w:t xml:space="preserve"> </w:t>
      </w:r>
      <w:r w:rsidRPr="00A3146C">
        <w:t xml:space="preserve">Some degree of protection has been accorded to these creditors through the </w:t>
      </w:r>
      <w:r w:rsidR="001F4D80">
        <w:t>‘</w:t>
      </w:r>
      <w:r w:rsidR="002E4C73">
        <w:t>prescribed part</w:t>
      </w:r>
      <w:r w:rsidR="001F4D80">
        <w:t>’</w:t>
      </w:r>
      <w:r w:rsidR="003312DC">
        <w:t xml:space="preserve"> which,</w:t>
      </w:r>
      <w:r w:rsidRPr="00A3146C">
        <w:t xml:space="preserve"> provided certain conditions are met,</w:t>
      </w:r>
      <w:r w:rsidRPr="00A3146C">
        <w:rPr>
          <w:bCs/>
          <w:vertAlign w:val="superscript"/>
        </w:rPr>
        <w:footnoteReference w:id="120"/>
      </w:r>
      <w:r w:rsidRPr="00A3146C">
        <w:t xml:space="preserve"> ring-fences a percentage</w:t>
      </w:r>
      <w:r w:rsidRPr="00A3146C">
        <w:rPr>
          <w:vertAlign w:val="superscript"/>
        </w:rPr>
        <w:footnoteReference w:id="121"/>
      </w:r>
      <w:r w:rsidRPr="00A3146C">
        <w:t xml:space="preserve"> of the company’s net property for them where </w:t>
      </w:r>
      <w:r>
        <w:t xml:space="preserve">a floating charge </w:t>
      </w:r>
      <w:r w:rsidR="001F4D80">
        <w:t>was</w:t>
      </w:r>
      <w:r>
        <w:t xml:space="preserve"> </w:t>
      </w:r>
      <w:r w:rsidRPr="00C2715E">
        <w:t>created on or after 15 September 2003</w:t>
      </w:r>
      <w:r w:rsidRPr="00A3146C">
        <w:t>.</w:t>
      </w:r>
      <w:r>
        <w:t xml:space="preserve"> </w:t>
      </w:r>
      <w:r w:rsidRPr="00A3146C">
        <w:t xml:space="preserve">Whilst this may result in unsecured creditors recouping some of the amount owed to them, </w:t>
      </w:r>
      <w:r w:rsidR="00796E0C">
        <w:t>the Insolvency Service</w:t>
      </w:r>
      <w:r w:rsidR="002E4C73">
        <w:t xml:space="preserve"> impact assessment suggests</w:t>
      </w:r>
      <w:r w:rsidR="00796E0C">
        <w:t xml:space="preserve"> it</w:t>
      </w:r>
      <w:r w:rsidRPr="00A3146C">
        <w:t xml:space="preserve"> may only be a nominal amount. </w:t>
      </w:r>
    </w:p>
    <w:p w:rsidR="00A3146C" w:rsidRPr="00A3146C" w:rsidRDefault="00454E82" w:rsidP="00760CF5">
      <w:pPr>
        <w:pStyle w:val="PhDParagraph"/>
      </w:pPr>
      <w:r>
        <w:t xml:space="preserve">Even </w:t>
      </w:r>
      <w:r w:rsidR="007F0FDA">
        <w:t xml:space="preserve">if </w:t>
      </w:r>
      <w:r>
        <w:t xml:space="preserve">assets </w:t>
      </w:r>
      <w:r w:rsidR="00796E0C">
        <w:t xml:space="preserve">are </w:t>
      </w:r>
      <w:r>
        <w:t xml:space="preserve">available for distribution, </w:t>
      </w:r>
      <w:r w:rsidR="007F0FDA">
        <w:t>w</w:t>
      </w:r>
      <w:r w:rsidR="007F0FDA" w:rsidRPr="00A3146C">
        <w:t>here there are numerous unsecured</w:t>
      </w:r>
      <w:r w:rsidR="007F0FDA">
        <w:t xml:space="preserve"> creditors</w:t>
      </w:r>
      <w:r w:rsidR="007F0FDA" w:rsidRPr="00A3146C">
        <w:t xml:space="preserve"> </w:t>
      </w:r>
      <w:r w:rsidR="00760CF5">
        <w:t xml:space="preserve">then </w:t>
      </w:r>
      <w:r w:rsidR="007F0FDA" w:rsidRPr="00A3146C">
        <w:t>the residual risk to society is significant</w:t>
      </w:r>
      <w:r w:rsidR="00B724F0">
        <w:t>.</w:t>
      </w:r>
      <w:r w:rsidR="007F0FDA">
        <w:t xml:space="preserve"> </w:t>
      </w:r>
      <w:r w:rsidR="00B724F0">
        <w:t>I</w:t>
      </w:r>
      <w:r w:rsidR="007F0FDA">
        <w:t>t is</w:t>
      </w:r>
      <w:r w:rsidR="007F0FDA" w:rsidRPr="00A3146C">
        <w:t xml:space="preserve"> likely that only a fraction of the outstanding </w:t>
      </w:r>
      <w:r w:rsidR="00B724F0">
        <w:t>costs</w:t>
      </w:r>
      <w:r w:rsidR="007F0FDA" w:rsidRPr="00A3146C">
        <w:t xml:space="preserve"> will be </w:t>
      </w:r>
      <w:r w:rsidR="00796E0C">
        <w:t>recovered</w:t>
      </w:r>
      <w:r w:rsidR="007F0FDA" w:rsidRPr="00A3146C">
        <w:t xml:space="preserve">. </w:t>
      </w:r>
      <w:r w:rsidR="007F0FDA">
        <w:t>The regulator will have to share equally (</w:t>
      </w:r>
      <w:r w:rsidR="006C65B3">
        <w:t>i.e.</w:t>
      </w:r>
      <w:r w:rsidR="007F0FDA">
        <w:t xml:space="preserve"> pari passu) in any amount left over after prior claims have been satisfied</w:t>
      </w:r>
      <w:r w:rsidR="00796E0C">
        <w:t>.</w:t>
      </w:r>
      <w:r w:rsidR="00A3146C" w:rsidRPr="00A3146C">
        <w:rPr>
          <w:vertAlign w:val="superscript"/>
        </w:rPr>
        <w:footnoteReference w:id="122"/>
      </w:r>
      <w:r w:rsidR="00796E0C">
        <w:t xml:space="preserve"> </w:t>
      </w:r>
      <w:r w:rsidR="00A3146C" w:rsidRPr="00A3146C">
        <w:t xml:space="preserve">There are two aspects to this: firstly, no </w:t>
      </w:r>
      <w:r w:rsidR="00CD3E6A">
        <w:t>unsecured</w:t>
      </w:r>
      <w:r w:rsidR="00A3146C" w:rsidRPr="00A3146C">
        <w:t xml:space="preserve"> creditor may gain priority in ranking over another</w:t>
      </w:r>
      <w:r w:rsidR="008F029E">
        <w:t>, even if their claim arose at an earlier date</w:t>
      </w:r>
      <w:r w:rsidR="00A3146C" w:rsidRPr="00A3146C">
        <w:t>; and secondly, where funds</w:t>
      </w:r>
      <w:r w:rsidR="00B422B7">
        <w:t xml:space="preserve"> available</w:t>
      </w:r>
      <w:r w:rsidR="00A3146C" w:rsidRPr="00A3146C">
        <w:t xml:space="preserve"> to meet the claims of </w:t>
      </w:r>
      <w:r w:rsidR="00A3146C" w:rsidRPr="00A3146C">
        <w:lastRenderedPageBreak/>
        <w:t xml:space="preserve">such creditors are insufficient, any funds remaining are distributed to them in equal proportions. </w:t>
      </w:r>
      <w:r w:rsidR="00B724F0">
        <w:t>T</w:t>
      </w:r>
      <w:r w:rsidR="00796E0C">
        <w:t>he potential low value of available assets and the further dilution of the recoverable sum</w:t>
      </w:r>
      <w:r w:rsidR="00CD3E6A">
        <w:t xml:space="preserve"> through the requirement for equal treatment</w:t>
      </w:r>
      <w:r w:rsidR="00796E0C">
        <w:t xml:space="preserve"> </w:t>
      </w:r>
      <w:r w:rsidR="00B724F0">
        <w:t>may discourage</w:t>
      </w:r>
      <w:r w:rsidR="00796E0C">
        <w:t xml:space="preserve"> </w:t>
      </w:r>
      <w:r w:rsidR="002E4C73">
        <w:t xml:space="preserve">regulators </w:t>
      </w:r>
      <w:r w:rsidR="007F0FDA" w:rsidRPr="007F0FDA">
        <w:t>from engaging with the winding-up process in the first place.</w:t>
      </w:r>
      <w:r w:rsidR="007F0FDA">
        <w:t xml:space="preserve"> </w:t>
      </w:r>
      <w:r w:rsidR="00443472">
        <w:t>W</w:t>
      </w:r>
      <w:r w:rsidR="00796E0C">
        <w:t xml:space="preserve">here the regulator chooses to prove for the debt, the outcome </w:t>
      </w:r>
      <w:r w:rsidR="008C1B27">
        <w:t>is likely to</w:t>
      </w:r>
      <w:r w:rsidR="00796E0C">
        <w:t xml:space="preserve"> be identical to that </w:t>
      </w:r>
      <w:r w:rsidR="00A3146C" w:rsidRPr="00A3146C">
        <w:t xml:space="preserve">where no financial security </w:t>
      </w:r>
      <w:r w:rsidR="00796E0C">
        <w:t>was</w:t>
      </w:r>
      <w:r w:rsidR="00A3146C" w:rsidRPr="00A3146C">
        <w:t xml:space="preserve"> </w:t>
      </w:r>
      <w:r w:rsidR="00443472">
        <w:t>demanded</w:t>
      </w:r>
      <w:r w:rsidR="00796E0C">
        <w:t xml:space="preserve"> from </w:t>
      </w:r>
      <w:r w:rsidR="00A3146C" w:rsidRPr="00A3146C">
        <w:t xml:space="preserve">the operator. </w:t>
      </w:r>
      <w:r w:rsidR="003418CA">
        <w:t>This is a serious concern for society.</w:t>
      </w:r>
    </w:p>
    <w:p w:rsidR="00FF4CEB" w:rsidRDefault="00A3146C" w:rsidP="001E38D0">
      <w:pPr>
        <w:pStyle w:val="PhDParagraph"/>
      </w:pPr>
      <w:r w:rsidRPr="00E227B1">
        <w:t xml:space="preserve">Secondly, </w:t>
      </w:r>
      <w:r w:rsidR="00597D1D" w:rsidRPr="00E227B1">
        <w:t>the regulator’s claim</w:t>
      </w:r>
      <w:r w:rsidR="002E4C73" w:rsidRPr="00E227B1">
        <w:t xml:space="preserve"> in respect of </w:t>
      </w:r>
      <w:r w:rsidR="00BB4766" w:rsidRPr="00E227B1">
        <w:t>‘</w:t>
      </w:r>
      <w:r w:rsidR="002E4C73" w:rsidRPr="00E227B1">
        <w:t>loss or damage</w:t>
      </w:r>
      <w:r w:rsidR="00BB4766" w:rsidRPr="00E227B1">
        <w:t>’</w:t>
      </w:r>
      <w:r w:rsidR="00597D1D" w:rsidRPr="00E227B1">
        <w:t xml:space="preserve"> </w:t>
      </w:r>
      <w:r w:rsidR="00FA1814" w:rsidRPr="00E227B1">
        <w:t>incurred in</w:t>
      </w:r>
      <w:r w:rsidR="00FA1814">
        <w:t xml:space="preserve"> consequence of disclaimer </w:t>
      </w:r>
      <w:r w:rsidR="00597D1D">
        <w:t>may</w:t>
      </w:r>
      <w:r w:rsidR="00FA1814">
        <w:t>, at least</w:t>
      </w:r>
      <w:r w:rsidR="00597D1D">
        <w:t xml:space="preserve"> in certain environmental frameworks</w:t>
      </w:r>
      <w:r w:rsidR="00FA1814">
        <w:t>,</w:t>
      </w:r>
      <w:r w:rsidR="00597D1D">
        <w:t xml:space="preserve"> </w:t>
      </w:r>
      <w:r w:rsidR="00411292">
        <w:t>‘</w:t>
      </w:r>
      <w:r w:rsidR="00597D1D">
        <w:t>fall away</w:t>
      </w:r>
      <w:r w:rsidR="00411292">
        <w:t>’</w:t>
      </w:r>
      <w:r w:rsidR="00597D1D">
        <w:t xml:space="preserve"> if and when the licence or permit is disclaimed. For example, u</w:t>
      </w:r>
      <w:r w:rsidR="00FF4CEB">
        <w:t xml:space="preserve">nder </w:t>
      </w:r>
      <w:r w:rsidR="007378AA">
        <w:t>regulation</w:t>
      </w:r>
      <w:r w:rsidR="00FF4CEB">
        <w:t xml:space="preserve"> 57(2)</w:t>
      </w:r>
      <w:r w:rsidR="002E4C73">
        <w:t xml:space="preserve"> EPR</w:t>
      </w:r>
      <w:r w:rsidR="00B81C29">
        <w:t xml:space="preserve">, </w:t>
      </w:r>
      <w:r w:rsidR="00FF4CEB">
        <w:t>a</w:t>
      </w:r>
      <w:r w:rsidR="00FF4CEB" w:rsidRPr="00FF4CEB">
        <w:t xml:space="preserve"> regulator may arrange for steps to be taken to remedy the effects of pollution</w:t>
      </w:r>
      <w:r w:rsidR="00FF4CEB">
        <w:t xml:space="preserve"> if, for example, it believes that the contravention of an environmental permit condition has caused pollution.</w:t>
      </w:r>
      <w:r w:rsidR="00FF4CEB">
        <w:rPr>
          <w:rStyle w:val="FootnoteReference"/>
          <w:rFonts w:cs="Arial"/>
        </w:rPr>
        <w:footnoteReference w:id="123"/>
      </w:r>
      <w:r w:rsidR="00E227B1">
        <w:t xml:space="preserve"> </w:t>
      </w:r>
      <w:r w:rsidR="00FF4CEB">
        <w:t xml:space="preserve">If the regulator </w:t>
      </w:r>
      <w:r w:rsidR="00597D1D">
        <w:t>chooses</w:t>
      </w:r>
      <w:r w:rsidR="00E227B1">
        <w:t xml:space="preserve"> to do so</w:t>
      </w:r>
      <w:r w:rsidR="00FF4CEB" w:rsidRPr="00FF4CEB">
        <w:t xml:space="preserve"> it may recover the cost of taking those steps from the operator.</w:t>
      </w:r>
      <w:r w:rsidR="00FF4CEB">
        <w:rPr>
          <w:rStyle w:val="FootnoteReference"/>
          <w:rFonts w:cs="Arial"/>
        </w:rPr>
        <w:footnoteReference w:id="124"/>
      </w:r>
      <w:r w:rsidR="00FF4CEB">
        <w:t xml:space="preserve"> Problems arise, h</w:t>
      </w:r>
      <w:r w:rsidR="002E4C73">
        <w:t xml:space="preserve">owever, when the definition of </w:t>
      </w:r>
      <w:r w:rsidR="00E227B1">
        <w:t>‘</w:t>
      </w:r>
      <w:r w:rsidR="002E4C73">
        <w:t>operator</w:t>
      </w:r>
      <w:r w:rsidR="00E227B1">
        <w:t>’</w:t>
      </w:r>
      <w:r w:rsidR="00FF4CEB">
        <w:t xml:space="preserve"> is examined.</w:t>
      </w:r>
      <w:r w:rsidR="00FF4CEB" w:rsidRPr="00FF4CEB">
        <w:t xml:space="preserve"> </w:t>
      </w:r>
      <w:r w:rsidR="00FF4CEB">
        <w:t xml:space="preserve">Under </w:t>
      </w:r>
      <w:r w:rsidR="002E4C73">
        <w:t>r</w:t>
      </w:r>
      <w:r w:rsidR="00FF4CEB">
        <w:t>egulation 7</w:t>
      </w:r>
      <w:r w:rsidR="001E0568" w:rsidRPr="001E0568">
        <w:t xml:space="preserve"> EPR</w:t>
      </w:r>
      <w:r w:rsidR="00FF4CEB">
        <w:t>, if a regulated facility author</w:t>
      </w:r>
      <w:r w:rsidR="00CD6D2D">
        <w:t>ised by an environmental permit</w:t>
      </w:r>
      <w:r w:rsidR="00597D1D">
        <w:t xml:space="preserve"> </w:t>
      </w:r>
      <w:r w:rsidR="00E227B1">
        <w:t>‘</w:t>
      </w:r>
      <w:r w:rsidR="00597D1D">
        <w:t>...</w:t>
      </w:r>
      <w:r w:rsidR="00FF4CEB">
        <w:t>ceases to be in operation</w:t>
      </w:r>
      <w:r w:rsidR="00597D1D">
        <w:t>...</w:t>
      </w:r>
      <w:r w:rsidR="00E227B1">
        <w:t>’</w:t>
      </w:r>
      <w:r w:rsidR="001E0568">
        <w:t>,</w:t>
      </w:r>
      <w:r w:rsidR="00597D1D">
        <w:t xml:space="preserve"> </w:t>
      </w:r>
      <w:r w:rsidR="004C2F33">
        <w:t>as is likely to be the case</w:t>
      </w:r>
      <w:r w:rsidR="001E0568">
        <w:t xml:space="preserve"> when the winding-up process has been instigated,</w:t>
      </w:r>
      <w:r w:rsidR="004C2F33">
        <w:t xml:space="preserve"> </w:t>
      </w:r>
      <w:r w:rsidR="00597D1D">
        <w:t>then</w:t>
      </w:r>
      <w:r w:rsidR="002E4C73">
        <w:t xml:space="preserve"> the </w:t>
      </w:r>
      <w:r w:rsidR="00E227B1">
        <w:t>‘</w:t>
      </w:r>
      <w:r w:rsidR="002E4C73">
        <w:t>operator</w:t>
      </w:r>
      <w:r w:rsidR="00E227B1">
        <w:t>’</w:t>
      </w:r>
      <w:r w:rsidR="00FF4CEB">
        <w:t xml:space="preserve"> is deemed to be the person who </w:t>
      </w:r>
      <w:r w:rsidR="00E227B1">
        <w:t>‘</w:t>
      </w:r>
      <w:r w:rsidR="00FF4CEB" w:rsidRPr="00597D1D">
        <w:t>holds</w:t>
      </w:r>
      <w:r w:rsidR="00E227B1">
        <w:t>’</w:t>
      </w:r>
      <w:r w:rsidR="00FF4CEB">
        <w:t xml:space="preserve"> the permit. </w:t>
      </w:r>
      <w:r w:rsidR="00FF4CEB" w:rsidRPr="004C2F33">
        <w:t xml:space="preserve">Where </w:t>
      </w:r>
      <w:r w:rsidR="004C2F33" w:rsidRPr="004C2F33">
        <w:t>a liquidator</w:t>
      </w:r>
      <w:r w:rsidR="00597D1D" w:rsidRPr="004C2F33">
        <w:t xml:space="preserve"> </w:t>
      </w:r>
      <w:r w:rsidR="004C2F33">
        <w:t>utilises their power under s</w:t>
      </w:r>
      <w:r w:rsidR="00143FF8">
        <w:t>ection</w:t>
      </w:r>
      <w:r w:rsidR="004C2F33">
        <w:t xml:space="preserve"> 178 IA 1986 to </w:t>
      </w:r>
      <w:r w:rsidR="00A52B9C" w:rsidRPr="004C2F33">
        <w:t>disclaim</w:t>
      </w:r>
      <w:r w:rsidR="00597D1D">
        <w:t xml:space="preserve"> the permit, </w:t>
      </w:r>
      <w:r w:rsidR="004C2F33">
        <w:t xml:space="preserve">neither </w:t>
      </w:r>
      <w:r w:rsidR="002E4C73">
        <w:t>t</w:t>
      </w:r>
      <w:r w:rsidR="00597D1D">
        <w:t xml:space="preserve">he </w:t>
      </w:r>
      <w:r w:rsidR="002E4C73">
        <w:t xml:space="preserve">liquidator </w:t>
      </w:r>
      <w:r w:rsidR="00597D1D">
        <w:t xml:space="preserve">nor anyone else </w:t>
      </w:r>
      <w:r w:rsidR="004C2F33">
        <w:t>could</w:t>
      </w:r>
      <w:r w:rsidR="002E4C73">
        <w:t xml:space="preserve"> be deemed to </w:t>
      </w:r>
      <w:r w:rsidR="00E227B1">
        <w:t>‘</w:t>
      </w:r>
      <w:r w:rsidR="00597D1D">
        <w:t>hold</w:t>
      </w:r>
      <w:r w:rsidR="00E227B1">
        <w:t>’</w:t>
      </w:r>
      <w:r w:rsidR="00597D1D">
        <w:t xml:space="preserve"> the permit.</w:t>
      </w:r>
      <w:r w:rsidR="001E38D0">
        <w:t xml:space="preserve"> In fact, it is strongly arguable that there is no permit to hold.</w:t>
      </w:r>
      <w:r w:rsidR="00597D1D">
        <w:t xml:space="preserve"> </w:t>
      </w:r>
      <w:r w:rsidR="001E38D0">
        <w:t xml:space="preserve">Disclaimer of a lease, for example, has been deemed </w:t>
      </w:r>
      <w:r w:rsidR="002E4C73">
        <w:t xml:space="preserve">to </w:t>
      </w:r>
      <w:r w:rsidR="001E38D0">
        <w:t>result in it ceasing to exist.</w:t>
      </w:r>
      <w:r w:rsidR="001E38D0">
        <w:rPr>
          <w:rStyle w:val="FootnoteReference"/>
        </w:rPr>
        <w:footnoteReference w:id="125"/>
      </w:r>
      <w:r w:rsidR="001E38D0">
        <w:t xml:space="preserve"> </w:t>
      </w:r>
      <w:r w:rsidR="00CD6D2D">
        <w:t xml:space="preserve">In </w:t>
      </w:r>
      <w:r w:rsidR="001E38D0" w:rsidRPr="00CD6D2D">
        <w:rPr>
          <w:i/>
        </w:rPr>
        <w:t xml:space="preserve">In </w:t>
      </w:r>
      <w:r w:rsidR="00CD6D2D">
        <w:rPr>
          <w:i/>
        </w:rPr>
        <w:t>r</w:t>
      </w:r>
      <w:r w:rsidR="001E38D0" w:rsidRPr="00CD6D2D">
        <w:rPr>
          <w:i/>
        </w:rPr>
        <w:t>e Mineral Resources</w:t>
      </w:r>
      <w:r w:rsidR="00F07949" w:rsidRPr="00CD6D2D">
        <w:rPr>
          <w:i/>
        </w:rPr>
        <w:t xml:space="preserve"> Ltd</w:t>
      </w:r>
      <w:r w:rsidR="001E38D0">
        <w:t>, Neuberger J agreed with</w:t>
      </w:r>
      <w:r w:rsidR="00B94356">
        <w:t xml:space="preserve"> the</w:t>
      </w:r>
      <w:r w:rsidR="001E38D0">
        <w:t xml:space="preserve"> argument of counsel that</w:t>
      </w:r>
      <w:r w:rsidR="00E227B1">
        <w:t xml:space="preserve"> the ‘</w:t>
      </w:r>
      <w:r w:rsidR="001E38D0">
        <w:t>...</w:t>
      </w:r>
      <w:r w:rsidR="001E38D0" w:rsidRPr="001E38D0">
        <w:t>idea that a waste management licence</w:t>
      </w:r>
      <w:r w:rsidR="001E38D0">
        <w:t xml:space="preserve"> </w:t>
      </w:r>
      <w:r w:rsidR="001E38D0" w:rsidRPr="001E38D0">
        <w:t>could be said to ‘continue in force’ in circumstances where it is vested in nobody is little short of absurd</w:t>
      </w:r>
      <w:r w:rsidR="001E38D0">
        <w:t>...</w:t>
      </w:r>
      <w:r w:rsidR="00E227B1">
        <w:t>’</w:t>
      </w:r>
      <w:r w:rsidR="00CD6D2D">
        <w:t>.</w:t>
      </w:r>
      <w:r w:rsidR="001E38D0">
        <w:rPr>
          <w:rStyle w:val="FootnoteReference"/>
        </w:rPr>
        <w:footnoteReference w:id="126"/>
      </w:r>
      <w:r w:rsidR="001E38D0">
        <w:t xml:space="preserve"> </w:t>
      </w:r>
      <w:r w:rsidR="00597D1D">
        <w:t xml:space="preserve">Thus, upon disclaimer, </w:t>
      </w:r>
      <w:r w:rsidR="00A52B9C">
        <w:t>there may be</w:t>
      </w:r>
      <w:r w:rsidR="00597D1D">
        <w:t xml:space="preserve"> no o</w:t>
      </w:r>
      <w:r w:rsidR="002E4C73">
        <w:t xml:space="preserve">ne to pursue and any claim for </w:t>
      </w:r>
      <w:r w:rsidR="00B94356">
        <w:t>‘</w:t>
      </w:r>
      <w:r w:rsidR="002E4C73">
        <w:t>loss or damage</w:t>
      </w:r>
      <w:r w:rsidR="00B94356">
        <w:t>’</w:t>
      </w:r>
      <w:r w:rsidR="00597D1D">
        <w:t xml:space="preserve"> under s</w:t>
      </w:r>
      <w:r w:rsidR="00143FF8">
        <w:t>ection</w:t>
      </w:r>
      <w:r w:rsidR="00597D1D">
        <w:t xml:space="preserve"> 178(6) IA 1986 </w:t>
      </w:r>
      <w:r w:rsidR="00CD6D2D">
        <w:t>seems to be lost</w:t>
      </w:r>
      <w:r w:rsidR="00597D1D">
        <w:t>.</w:t>
      </w:r>
      <w:r w:rsidR="00B81C29" w:rsidRPr="00B81C29">
        <w:rPr>
          <w:rFonts w:cs="Arial"/>
        </w:rPr>
        <w:t xml:space="preserve"> </w:t>
      </w:r>
      <w:r w:rsidR="000A7D90" w:rsidRPr="00A3146C">
        <w:rPr>
          <w:rFonts w:cs="Arial"/>
        </w:rPr>
        <w:t xml:space="preserve">From the perspective of </w:t>
      </w:r>
      <w:r w:rsidR="000A7D90" w:rsidRPr="00A3146C">
        <w:rPr>
          <w:rFonts w:cs="Arial"/>
        </w:rPr>
        <w:lastRenderedPageBreak/>
        <w:t xml:space="preserve">environmental protection and, indeed, </w:t>
      </w:r>
      <w:r w:rsidR="000A7D90">
        <w:rPr>
          <w:rFonts w:cs="Arial"/>
        </w:rPr>
        <w:t xml:space="preserve">from </w:t>
      </w:r>
      <w:r w:rsidR="000A7D90" w:rsidRPr="00A3146C">
        <w:rPr>
          <w:rFonts w:cs="Arial"/>
        </w:rPr>
        <w:t xml:space="preserve">society as residual risk bearer, this is </w:t>
      </w:r>
      <w:r w:rsidR="000A7D90">
        <w:rPr>
          <w:rFonts w:cs="Arial"/>
        </w:rPr>
        <w:t>highly</w:t>
      </w:r>
      <w:r w:rsidR="000A7D90" w:rsidRPr="00A3146C">
        <w:rPr>
          <w:rFonts w:cs="Arial"/>
        </w:rPr>
        <w:t xml:space="preserve"> problematic.</w:t>
      </w:r>
      <w:r w:rsidR="000A7D90">
        <w:rPr>
          <w:rFonts w:cs="Arial"/>
        </w:rPr>
        <w:t xml:space="preserve"> </w:t>
      </w:r>
      <w:r w:rsidR="00A52B9C">
        <w:rPr>
          <w:rFonts w:cs="Arial"/>
        </w:rPr>
        <w:t xml:space="preserve">Whilst the EPR is just one </w:t>
      </w:r>
      <w:r w:rsidR="00590C8E">
        <w:rPr>
          <w:rFonts w:cs="Arial"/>
        </w:rPr>
        <w:t xml:space="preserve">of many </w:t>
      </w:r>
      <w:r w:rsidR="00EC7A20">
        <w:rPr>
          <w:rFonts w:cs="Arial"/>
        </w:rPr>
        <w:t>environmental</w:t>
      </w:r>
      <w:r w:rsidR="00A52B9C">
        <w:rPr>
          <w:rFonts w:cs="Arial"/>
        </w:rPr>
        <w:t xml:space="preserve"> framework</w:t>
      </w:r>
      <w:r w:rsidR="00590C8E">
        <w:rPr>
          <w:rFonts w:cs="Arial"/>
        </w:rPr>
        <w:t>s</w:t>
      </w:r>
      <w:r w:rsidR="00A52B9C">
        <w:rPr>
          <w:rFonts w:cs="Arial"/>
        </w:rPr>
        <w:t xml:space="preserve">, it is of immense </w:t>
      </w:r>
      <w:r w:rsidR="009259BB">
        <w:rPr>
          <w:rFonts w:cs="Arial"/>
        </w:rPr>
        <w:t xml:space="preserve">regulatory </w:t>
      </w:r>
      <w:r w:rsidR="00A52B9C">
        <w:rPr>
          <w:rFonts w:cs="Arial"/>
        </w:rPr>
        <w:t xml:space="preserve">significance </w:t>
      </w:r>
      <w:r w:rsidR="009259BB">
        <w:rPr>
          <w:rFonts w:cs="Arial"/>
        </w:rPr>
        <w:t>as</w:t>
      </w:r>
      <w:r w:rsidR="00A52B9C">
        <w:rPr>
          <w:rFonts w:cs="Arial"/>
        </w:rPr>
        <w:t xml:space="preserve"> it governs </w:t>
      </w:r>
      <w:r w:rsidR="00EC7A20">
        <w:rPr>
          <w:rFonts w:cs="Arial"/>
        </w:rPr>
        <w:t>numerous</w:t>
      </w:r>
      <w:r w:rsidR="00A52B9C">
        <w:rPr>
          <w:rFonts w:cs="Arial"/>
        </w:rPr>
        <w:t xml:space="preserve"> environmentally risky activities, such as waste </w:t>
      </w:r>
      <w:r w:rsidR="00EC7A20">
        <w:rPr>
          <w:rFonts w:cs="Arial"/>
        </w:rPr>
        <w:t>and</w:t>
      </w:r>
      <w:r w:rsidR="00A52B9C">
        <w:rPr>
          <w:rFonts w:cs="Arial"/>
        </w:rPr>
        <w:t xml:space="preserve"> mining waste operations and activities relat</w:t>
      </w:r>
      <w:r w:rsidR="00EC7A20">
        <w:rPr>
          <w:rFonts w:cs="Arial"/>
        </w:rPr>
        <w:t>ing</w:t>
      </w:r>
      <w:r w:rsidR="00A52B9C">
        <w:rPr>
          <w:rFonts w:cs="Arial"/>
        </w:rPr>
        <w:t xml:space="preserve"> to radioactive substances. </w:t>
      </w:r>
    </w:p>
    <w:p w:rsidR="00CD6D2D" w:rsidRDefault="00A3146C" w:rsidP="006C1397">
      <w:pPr>
        <w:pStyle w:val="PhDParagraph"/>
      </w:pPr>
      <w:r w:rsidRPr="00E13F22">
        <w:t>To deal now with the question whether a regulator may prove in the winding-up in</w:t>
      </w:r>
      <w:r w:rsidRPr="00A3146C">
        <w:t xml:space="preserve"> respect of costs associated with undertaking works </w:t>
      </w:r>
      <w:r w:rsidRPr="00E13F22">
        <w:rPr>
          <w:i/>
        </w:rPr>
        <w:t>post</w:t>
      </w:r>
      <w:r w:rsidRPr="00A3146C">
        <w:t xml:space="preserve">-liquidation. As indicated above, a person sustaining </w:t>
      </w:r>
      <w:r w:rsidR="00CD6D2D">
        <w:t>‘</w:t>
      </w:r>
      <w:r w:rsidR="00B214B4">
        <w:t>loss or damage</w:t>
      </w:r>
      <w:r w:rsidR="00CD6D2D">
        <w:t>’</w:t>
      </w:r>
      <w:r w:rsidRPr="00A3146C">
        <w:t xml:space="preserve"> in consequence of a disclaimer </w:t>
      </w:r>
      <w:r w:rsidR="006C1397">
        <w:t>may</w:t>
      </w:r>
      <w:r w:rsidRPr="00A3146C">
        <w:t xml:space="preserve"> prove for this in the winding-up. However, Neuberger J’s reasoning in </w:t>
      </w:r>
      <w:r w:rsidRPr="00A3146C">
        <w:rPr>
          <w:i/>
        </w:rPr>
        <w:t xml:space="preserve">Mineral Resources </w:t>
      </w:r>
      <w:r w:rsidRPr="00A3146C">
        <w:t>indicates that a regulator is unlikely to able to prove in respect of costs associated with requisite, but outstanding</w:t>
      </w:r>
      <w:r w:rsidR="00E511F4">
        <w:t>,</w:t>
      </w:r>
      <w:r w:rsidRPr="00A3146C">
        <w:t xml:space="preserve"> works. This </w:t>
      </w:r>
      <w:r w:rsidR="00E511F4">
        <w:t>i</w:t>
      </w:r>
      <w:r w:rsidRPr="00A3146C">
        <w:t xml:space="preserve">s because under the </w:t>
      </w:r>
      <w:r w:rsidR="00F87A8A">
        <w:t xml:space="preserve">then </w:t>
      </w:r>
      <w:r w:rsidRPr="00A3146C">
        <w:t>relevant regulatory framework the regulator was not under a statutory or contractual duty to undertake them.</w:t>
      </w:r>
      <w:r w:rsidRPr="00A3146C">
        <w:rPr>
          <w:vertAlign w:val="superscript"/>
        </w:rPr>
        <w:footnoteReference w:id="127"/>
      </w:r>
      <w:r w:rsidRPr="00A3146C">
        <w:t xml:space="preserve"> It merely ha</w:t>
      </w:r>
      <w:r w:rsidR="00CD6D2D">
        <w:t>d</w:t>
      </w:r>
      <w:r w:rsidRPr="00A3146C">
        <w:t xml:space="preserve"> the power to undertake them as long as the environmental permit existed.</w:t>
      </w:r>
      <w:r w:rsidRPr="00A3146C">
        <w:rPr>
          <w:vertAlign w:val="superscript"/>
        </w:rPr>
        <w:footnoteReference w:id="128"/>
      </w:r>
      <w:r w:rsidRPr="00A3146C">
        <w:t xml:space="preserve"> </w:t>
      </w:r>
      <w:r w:rsidR="00681E58">
        <w:t>T</w:t>
      </w:r>
      <w:r w:rsidR="006C1397">
        <w:t xml:space="preserve">his is also likely to be case under the EPR. </w:t>
      </w:r>
      <w:r w:rsidRPr="00A3146C">
        <w:t>In effect, the regulator suffer</w:t>
      </w:r>
      <w:r w:rsidR="00F87A8A">
        <w:t>s</w:t>
      </w:r>
      <w:r w:rsidRPr="00A3146C">
        <w:t xml:space="preserve"> no </w:t>
      </w:r>
      <w:r w:rsidR="00CD6D2D">
        <w:t xml:space="preserve">true </w:t>
      </w:r>
      <w:r w:rsidRPr="00A3146C">
        <w:t>loss or damage in these circumstances. Rather, the loss is borne</w:t>
      </w:r>
      <w:r w:rsidR="006C1397">
        <w:t xml:space="preserve"> by the </w:t>
      </w:r>
      <w:r w:rsidR="00CB451D">
        <w:t xml:space="preserve">general </w:t>
      </w:r>
      <w:r w:rsidR="006C1397">
        <w:t>public</w:t>
      </w:r>
      <w:r w:rsidRPr="00A3146C">
        <w:t>.</w:t>
      </w:r>
      <w:r w:rsidRPr="00A3146C">
        <w:rPr>
          <w:vertAlign w:val="superscript"/>
        </w:rPr>
        <w:footnoteReference w:id="129"/>
      </w:r>
      <w:r w:rsidRPr="00A3146C">
        <w:t xml:space="preserve"> Other environmental frameworks which permit </w:t>
      </w:r>
      <w:r w:rsidR="00CD6D2D">
        <w:t>a</w:t>
      </w:r>
      <w:r w:rsidRPr="00A3146C">
        <w:t xml:space="preserve"> regulator to undertake necessary works on behalf of the operator adopt similar</w:t>
      </w:r>
      <w:r w:rsidR="0050269C">
        <w:t xml:space="preserve"> precatory</w:t>
      </w:r>
      <w:r w:rsidRPr="00A3146C">
        <w:t xml:space="preserve"> language. For exam</w:t>
      </w:r>
      <w:r w:rsidR="00933B52">
        <w:t>ple, under regulation 23(b) of t</w:t>
      </w:r>
      <w:r w:rsidRPr="00A3146C">
        <w:t>he Environmental Damage (Prevention and Remediation) (England) Regulations 2015</w:t>
      </w:r>
      <w:r w:rsidR="00933B52">
        <w:t xml:space="preserve"> (</w:t>
      </w:r>
      <w:r w:rsidR="00DD3531">
        <w:t>EDR)</w:t>
      </w:r>
      <w:r w:rsidR="006C1397">
        <w:t xml:space="preserve">, the enforcing authority </w:t>
      </w:r>
      <w:r w:rsidR="00CD6D2D">
        <w:t>‘</w:t>
      </w:r>
      <w:r w:rsidR="006C1397">
        <w:t>may</w:t>
      </w:r>
      <w:r w:rsidR="00CD6D2D">
        <w:t>’</w:t>
      </w:r>
      <w:r w:rsidRPr="00A3146C">
        <w:t xml:space="preserve"> carry out any reasonable works if a responsible operator fails to comply with a remediation notice. </w:t>
      </w:r>
    </w:p>
    <w:p w:rsidR="00A3146C" w:rsidRPr="00A3146C" w:rsidRDefault="00A3146C" w:rsidP="006C1397">
      <w:pPr>
        <w:pStyle w:val="PhDParagraph"/>
      </w:pPr>
      <w:r w:rsidRPr="00A3146C">
        <w:t>That disclaimer can prevent a regulator from</w:t>
      </w:r>
      <w:r w:rsidR="00933B52">
        <w:t xml:space="preserve"> recovering costs necessary to </w:t>
      </w:r>
      <w:r w:rsidR="00C27364">
        <w:t>‘</w:t>
      </w:r>
      <w:r w:rsidR="00933B52">
        <w:t>tidy up</w:t>
      </w:r>
      <w:r w:rsidR="00C27364">
        <w:t>’</w:t>
      </w:r>
      <w:r w:rsidRPr="00A3146C">
        <w:t xml:space="preserve"> after the responsible operator </w:t>
      </w:r>
      <w:r w:rsidR="00681E58">
        <w:t xml:space="preserve">is inherently problematic from an environmental protection perspective </w:t>
      </w:r>
      <w:r w:rsidR="00933B52">
        <w:t xml:space="preserve">and </w:t>
      </w:r>
      <w:r w:rsidRPr="00A3146C">
        <w:t xml:space="preserve">may encourage irresponsible behaviour by some operators. </w:t>
      </w:r>
      <w:r w:rsidR="00681E58">
        <w:t>Operators</w:t>
      </w:r>
      <w:r w:rsidRPr="00A3146C">
        <w:t xml:space="preserve"> may be incentivised to </w:t>
      </w:r>
      <w:r w:rsidR="00424CE8">
        <w:t>enter voluntary liquidation</w:t>
      </w:r>
      <w:r w:rsidR="006269CC">
        <w:t xml:space="preserve"> proceedings </w:t>
      </w:r>
      <w:r w:rsidR="00681E58">
        <w:t>with the intention of</w:t>
      </w:r>
      <w:r w:rsidR="006269CC">
        <w:t xml:space="preserve"> </w:t>
      </w:r>
      <w:r w:rsidR="00681E58">
        <w:t>avoid</w:t>
      </w:r>
      <w:r w:rsidR="00CD6D2D">
        <w:t>ing</w:t>
      </w:r>
      <w:r w:rsidR="00681E58">
        <w:t xml:space="preserve"> these costs.</w:t>
      </w:r>
      <w:r w:rsidRPr="00A3146C">
        <w:t xml:space="preserve"> </w:t>
      </w:r>
      <w:r w:rsidR="006269CC">
        <w:t xml:space="preserve">Whist </w:t>
      </w:r>
      <w:r w:rsidR="00CD6D2D">
        <w:t xml:space="preserve">in </w:t>
      </w:r>
      <w:r w:rsidR="00CD6D2D" w:rsidRPr="00CD6D2D">
        <w:rPr>
          <w:i/>
        </w:rPr>
        <w:t>Re Wilmott Trading Ltd</w:t>
      </w:r>
      <w:r w:rsidR="00CD6D2D">
        <w:t>,</w:t>
      </w:r>
      <w:r w:rsidR="00CD6D2D" w:rsidRPr="00CD6D2D">
        <w:t xml:space="preserve"> </w:t>
      </w:r>
      <w:r w:rsidR="006269CC">
        <w:t xml:space="preserve">Neuberger J believed there to be a very strong public interest argument against such an approach where the operator had some funds which </w:t>
      </w:r>
      <w:r w:rsidR="006269CC" w:rsidRPr="00203017">
        <w:lastRenderedPageBreak/>
        <w:t>enabled it to comply with its licence,</w:t>
      </w:r>
      <w:r w:rsidR="006269CC" w:rsidRPr="00203017">
        <w:rPr>
          <w:rStyle w:val="FootnoteReference"/>
          <w:rFonts w:cs="Arial"/>
        </w:rPr>
        <w:footnoteReference w:id="130"/>
      </w:r>
      <w:r w:rsidR="006269CC" w:rsidRPr="00203017">
        <w:t xml:space="preserve"> </w:t>
      </w:r>
      <w:r w:rsidR="00373CCD">
        <w:t>it</w:t>
      </w:r>
      <w:r w:rsidR="006269CC" w:rsidRPr="00203017">
        <w:t xml:space="preserve"> has not been tested formally</w:t>
      </w:r>
      <w:r w:rsidR="00373CCD">
        <w:t xml:space="preserve"> in the courts</w:t>
      </w:r>
      <w:r w:rsidR="006269CC" w:rsidRPr="00203017">
        <w:t xml:space="preserve">. </w:t>
      </w:r>
      <w:r w:rsidR="00203017">
        <w:t>For Armour, l</w:t>
      </w:r>
      <w:r w:rsidR="00CD6D2D" w:rsidRPr="00203017">
        <w:t xml:space="preserve">imiting the capacity </w:t>
      </w:r>
      <w:r w:rsidR="00203017">
        <w:t>for</w:t>
      </w:r>
      <w:r w:rsidR="00CD6D2D" w:rsidRPr="00203017">
        <w:t xml:space="preserve"> dissol</w:t>
      </w:r>
      <w:r w:rsidR="00203017">
        <w:t>ution</w:t>
      </w:r>
      <w:r w:rsidR="00CD6D2D" w:rsidRPr="00203017">
        <w:t xml:space="preserve"> to circumstances where the operator </w:t>
      </w:r>
      <w:r w:rsidR="006B3CFB" w:rsidRPr="00203017">
        <w:t xml:space="preserve">had little or no funds to fulfil its </w:t>
      </w:r>
      <w:r w:rsidR="00203017">
        <w:t>permit/licence</w:t>
      </w:r>
      <w:r w:rsidR="006B3CFB" w:rsidRPr="00203017">
        <w:t xml:space="preserve"> obligations</w:t>
      </w:r>
      <w:r w:rsidR="00E14FB6" w:rsidRPr="00203017">
        <w:t xml:space="preserve"> </w:t>
      </w:r>
      <w:r w:rsidR="00203017">
        <w:t>would</w:t>
      </w:r>
      <w:r w:rsidR="00E14FB6" w:rsidRPr="00203017">
        <w:t xml:space="preserve"> </w:t>
      </w:r>
      <w:r w:rsidR="00203017" w:rsidRPr="00203017">
        <w:t>redress</w:t>
      </w:r>
      <w:r w:rsidR="00E14FB6" w:rsidRPr="00203017">
        <w:t xml:space="preserve"> </w:t>
      </w:r>
      <w:r w:rsidR="00203017">
        <w:t>the</w:t>
      </w:r>
      <w:r w:rsidR="00E14FB6" w:rsidRPr="00203017">
        <w:t xml:space="preserve"> perverse incentive to use liquidation to avoid environmental claims.</w:t>
      </w:r>
      <w:r w:rsidR="00E14FB6" w:rsidRPr="00203017">
        <w:rPr>
          <w:rStyle w:val="FootnoteReference"/>
        </w:rPr>
        <w:footnoteReference w:id="131"/>
      </w:r>
    </w:p>
    <w:p w:rsidR="00A3146C" w:rsidRPr="00A3146C" w:rsidRDefault="00A3146C" w:rsidP="00373CCD">
      <w:pPr>
        <w:pStyle w:val="PhDParagraph"/>
      </w:pPr>
      <w:r w:rsidRPr="00A3146C">
        <w:t xml:space="preserve">Disclaimer undoubtedly achieves its overriding purpose of facilitating a prompt winding-up of the operator’s affairs. However, it is strongly arguable that property to which environmental </w:t>
      </w:r>
      <w:r w:rsidR="00DD3531">
        <w:t>liabilities</w:t>
      </w:r>
      <w:r w:rsidRPr="00A3146C">
        <w:t xml:space="preserve"> attach should be treated as fundamentally different to other forms of disclaimable property and not be capable of disclaimer. Firstly, in the case of land which is contaminated, has been subject to significant environmental damage or to which substantial restoration obligations are </w:t>
      </w:r>
      <w:r w:rsidR="007107CB">
        <w:t xml:space="preserve">otherwise </w:t>
      </w:r>
      <w:r w:rsidRPr="00A3146C">
        <w:t>required, prospective purchasers may be deterred by stigma associated with the site, the prospect of further damage being uncovered, and remediation or restoration costs escalating.</w:t>
      </w:r>
      <w:r w:rsidRPr="00A3146C">
        <w:rPr>
          <w:vertAlign w:val="superscript"/>
        </w:rPr>
        <w:footnoteReference w:id="132"/>
      </w:r>
      <w:r w:rsidRPr="00A3146C">
        <w:t xml:space="preserve"> There may be no willing</w:t>
      </w:r>
      <w:r w:rsidR="00933B52">
        <w:t xml:space="preserve"> takers of the site, even at a </w:t>
      </w:r>
      <w:r w:rsidR="00AC7296">
        <w:t>‘</w:t>
      </w:r>
      <w:r w:rsidR="00933B52">
        <w:t>knockdown</w:t>
      </w:r>
      <w:r w:rsidR="00AC7296">
        <w:t>’</w:t>
      </w:r>
      <w:r w:rsidRPr="00A3146C">
        <w:t xml:space="preserve"> price. If so, and the regulator is not in a position financially to remediate or restore the site, it will remain in a contaminated, damaged and/or unrestored state, creating conditions under which the contamination may spread and damage worsen. Not only may this pose significant risk</w:t>
      </w:r>
      <w:r w:rsidR="00933B52">
        <w:t>s</w:t>
      </w:r>
      <w:r w:rsidRPr="00A3146C">
        <w:t xml:space="preserve"> to local ecosystems, residents may be left living next to a potentially harmful and dangerous site. Such serious implications for society are not, typically, present </w:t>
      </w:r>
      <w:r w:rsidR="00C23285">
        <w:t>with</w:t>
      </w:r>
      <w:r w:rsidRPr="00A3146C">
        <w:t xml:space="preserve"> other forms of disclaimable property. If, for example, a liquidator disclaims a lease, the landlord will lose rental income and may have to undertake significant repairing and insuring obligations. However, the landlord </w:t>
      </w:r>
      <w:r w:rsidR="00C23285">
        <w:t>will</w:t>
      </w:r>
      <w:r w:rsidRPr="00A3146C">
        <w:t xml:space="preserve"> be in a position to</w:t>
      </w:r>
      <w:r w:rsidR="00C23285">
        <w:t xml:space="preserve"> </w:t>
      </w:r>
      <w:r w:rsidR="004F0F6D">
        <w:t>seek</w:t>
      </w:r>
      <w:r w:rsidRPr="00A3146C">
        <w:t xml:space="preserve"> a new tenant, albeit at what may be a reduced </w:t>
      </w:r>
      <w:r w:rsidR="00933B52">
        <w:t>rent. The property will not be stigmatised</w:t>
      </w:r>
      <w:r w:rsidRPr="00A3146C">
        <w:t xml:space="preserve"> owing to its history or uncertain future so as to be unappealing to potential tenants. </w:t>
      </w:r>
      <w:r w:rsidR="004F0F6D">
        <w:t>So</w:t>
      </w:r>
      <w:r w:rsidRPr="00A3146C">
        <w:t xml:space="preserve">, in order to prevent the creation of contaminated, damaged or unrestored </w:t>
      </w:r>
      <w:r w:rsidR="00AA725D">
        <w:t>‘</w:t>
      </w:r>
      <w:r w:rsidR="00AA725D" w:rsidRPr="00AA725D">
        <w:t>orphan sites</w:t>
      </w:r>
      <w:r w:rsidR="00AA725D">
        <w:t>’</w:t>
      </w:r>
      <w:r w:rsidR="00AA725D" w:rsidRPr="00AA725D">
        <w:t xml:space="preserve"> </w:t>
      </w:r>
      <w:r w:rsidRPr="00A3146C">
        <w:t xml:space="preserve">with no real possibility of sale, environmental </w:t>
      </w:r>
      <w:r w:rsidR="00DD3531">
        <w:t>liabilities</w:t>
      </w:r>
      <w:r w:rsidRPr="00A3146C">
        <w:t xml:space="preserve"> </w:t>
      </w:r>
      <w:r w:rsidR="00B422B7">
        <w:t>could</w:t>
      </w:r>
      <w:r w:rsidRPr="00A3146C">
        <w:t xml:space="preserve"> be prioritised over the claims of the company’s other creditors, including its unsecured, non-preferential creditors. The </w:t>
      </w:r>
      <w:r w:rsidRPr="00A3146C">
        <w:lastRenderedPageBreak/>
        <w:t xml:space="preserve">prioritisation could be achieved, </w:t>
      </w:r>
      <w:r w:rsidR="00057736">
        <w:t>at the very least</w:t>
      </w:r>
      <w:r w:rsidRPr="00A3146C">
        <w:t>, by treating emergency works as an expense of the liquidation.</w:t>
      </w:r>
    </w:p>
    <w:p w:rsidR="00A3146C" w:rsidRPr="00A3146C" w:rsidRDefault="00A3146C" w:rsidP="00373CCD">
      <w:pPr>
        <w:pStyle w:val="PhDParagraph"/>
      </w:pPr>
      <w:r w:rsidRPr="00A3146C">
        <w:t xml:space="preserve">Secondly, and relatedly, as counsel for the Environment Agency argued unsuccessfully in </w:t>
      </w:r>
      <w:r w:rsidR="0007087D" w:rsidRPr="0007087D">
        <w:rPr>
          <w:i/>
        </w:rPr>
        <w:t xml:space="preserve">In </w:t>
      </w:r>
      <w:r w:rsidRPr="0007087D">
        <w:rPr>
          <w:i/>
        </w:rPr>
        <w:t>Re</w:t>
      </w:r>
      <w:r w:rsidRPr="00A3146C">
        <w:rPr>
          <w:i/>
        </w:rPr>
        <w:t xml:space="preserve"> Celtic Extraction Ltd, </w:t>
      </w:r>
      <w:r w:rsidRPr="00A3146C">
        <w:t>and Neuberger J reasoned in</w:t>
      </w:r>
      <w:r w:rsidRPr="00A3146C">
        <w:rPr>
          <w:i/>
        </w:rPr>
        <w:t xml:space="preserve"> Mineral Resources,</w:t>
      </w:r>
      <w:r w:rsidRPr="00A3146C">
        <w:rPr>
          <w:vertAlign w:val="superscript"/>
        </w:rPr>
        <w:footnoteReference w:id="133"/>
      </w:r>
      <w:r w:rsidRPr="00A3146C">
        <w:rPr>
          <w:i/>
        </w:rPr>
        <w:t xml:space="preserve"> </w:t>
      </w:r>
      <w:r w:rsidRPr="00A3146C">
        <w:t xml:space="preserve">the disclaimer provisions frustrate a </w:t>
      </w:r>
      <w:r w:rsidR="0019562B">
        <w:t>‘</w:t>
      </w:r>
      <w:r w:rsidRPr="00A3146C">
        <w:t>pi</w:t>
      </w:r>
      <w:r w:rsidR="0019562B">
        <w:t>llar’ of EU environmental policy</w:t>
      </w:r>
      <w:r w:rsidRPr="00A3146C">
        <w:rPr>
          <w:vertAlign w:val="superscript"/>
        </w:rPr>
        <w:footnoteReference w:id="134"/>
      </w:r>
      <w:r w:rsidR="00DD3531">
        <w:t xml:space="preserve"> </w:t>
      </w:r>
      <w:r w:rsidR="0019562B">
        <w:t>‘</w:t>
      </w:r>
      <w:r w:rsidRPr="00A3146C">
        <w:t>...</w:t>
      </w:r>
      <w:r w:rsidR="00DD3531">
        <w:t>that the polluter should pay</w:t>
      </w:r>
      <w:r w:rsidR="0019562B">
        <w:t>’</w:t>
      </w:r>
      <w:r w:rsidRPr="00A3146C">
        <w:t>.</w:t>
      </w:r>
      <w:r w:rsidRPr="00A3146C">
        <w:rPr>
          <w:vertAlign w:val="superscript"/>
        </w:rPr>
        <w:footnoteReference w:id="135"/>
      </w:r>
      <w:r w:rsidRPr="00A3146C">
        <w:t xml:space="preserve"> If a polluter-operator can be relieved of its environmental obligations, one of the principle’s central policy objectives, that of cost internalisation,</w:t>
      </w:r>
      <w:r w:rsidRPr="00A3146C">
        <w:rPr>
          <w:vertAlign w:val="superscript"/>
        </w:rPr>
        <w:footnoteReference w:id="136"/>
      </w:r>
      <w:r w:rsidRPr="00A3146C">
        <w:t xml:space="preserve"> </w:t>
      </w:r>
      <w:r w:rsidR="00AA725D">
        <w:t>is</w:t>
      </w:r>
      <w:r w:rsidRPr="00A3146C">
        <w:t xml:space="preserve"> thwarted. Importantly, </w:t>
      </w:r>
      <w:r w:rsidRPr="00A3146C">
        <w:rPr>
          <w:lang w:eastAsia="en-GB"/>
        </w:rPr>
        <w:t>cost internalisation, which may be facili</w:t>
      </w:r>
      <w:r w:rsidR="00FA74E2">
        <w:rPr>
          <w:lang w:eastAsia="en-GB"/>
        </w:rPr>
        <w:t>tated by ensuring that operator</w:t>
      </w:r>
      <w:r w:rsidRPr="00A3146C">
        <w:rPr>
          <w:lang w:eastAsia="en-GB"/>
        </w:rPr>
        <w:t xml:space="preserve">s bear the costs of their </w:t>
      </w:r>
      <w:r w:rsidR="00FA74E2">
        <w:rPr>
          <w:lang w:eastAsia="en-GB"/>
        </w:rPr>
        <w:t>environmental liabilities</w:t>
      </w:r>
      <w:r w:rsidRPr="00A3146C">
        <w:rPr>
          <w:lang w:eastAsia="en-GB"/>
        </w:rPr>
        <w:t>,</w:t>
      </w:r>
      <w:r w:rsidR="0009181D">
        <w:t xml:space="preserve"> creates market-</w:t>
      </w:r>
      <w:r w:rsidRPr="00A3146C">
        <w:t xml:space="preserve">orientated incentives for </w:t>
      </w:r>
      <w:r w:rsidR="00FA74E2">
        <w:t>them</w:t>
      </w:r>
      <w:r w:rsidRPr="00A3146C">
        <w:t xml:space="preserve"> to avoid causing environmental damage in the first place.</w:t>
      </w:r>
      <w:r w:rsidRPr="00A3146C">
        <w:rPr>
          <w:vertAlign w:val="superscript"/>
        </w:rPr>
        <w:footnoteReference w:id="137"/>
      </w:r>
      <w:r w:rsidR="0009181D">
        <w:t xml:space="preserve"> This </w:t>
      </w:r>
      <w:r w:rsidR="009B4871">
        <w:t>‘</w:t>
      </w:r>
      <w:r w:rsidR="0009181D">
        <w:t>upstream</w:t>
      </w:r>
      <w:r w:rsidR="009B4871">
        <w:t>’</w:t>
      </w:r>
      <w:r w:rsidRPr="00A3146C">
        <w:t xml:space="preserve"> benefit of cost internalisation may be seen to comply with the principle that preventive action should be taken,</w:t>
      </w:r>
      <w:r w:rsidRPr="00A3146C">
        <w:rPr>
          <w:vertAlign w:val="superscript"/>
        </w:rPr>
        <w:footnoteReference w:id="138"/>
      </w:r>
      <w:r w:rsidRPr="00A3146C">
        <w:t xml:space="preserve"> and gives the polluter-pays principle an important environmental protection perspective.</w:t>
      </w:r>
      <w:r w:rsidRPr="00A3146C">
        <w:rPr>
          <w:vertAlign w:val="superscript"/>
        </w:rPr>
        <w:footnoteReference w:id="139"/>
      </w:r>
      <w:r w:rsidRPr="00A3146C">
        <w:t xml:space="preserve"> </w:t>
      </w:r>
      <w:r w:rsidR="00FA74E2">
        <w:t>This</w:t>
      </w:r>
      <w:r w:rsidRPr="00A3146C">
        <w:t xml:space="preserve"> preventive potential of cost internalisati</w:t>
      </w:r>
      <w:r w:rsidR="0019562B">
        <w:t>on derives from the fact that</w:t>
      </w:r>
      <w:r w:rsidR="00DD3531">
        <w:t xml:space="preserve"> </w:t>
      </w:r>
      <w:r w:rsidR="0019562B">
        <w:t>‘</w:t>
      </w:r>
      <w:r w:rsidRPr="00A3146C">
        <w:t>...potential polluters who know they will be liable for the costs of remedying the damage they cause have a strong incentiv</w:t>
      </w:r>
      <w:r w:rsidR="00DD3531">
        <w:t>e to avoid causing such damage.</w:t>
      </w:r>
      <w:r w:rsidR="0019562B">
        <w:t>’</w:t>
      </w:r>
      <w:r w:rsidRPr="00A3146C">
        <w:rPr>
          <w:vertAlign w:val="superscript"/>
        </w:rPr>
        <w:footnoteReference w:id="140"/>
      </w:r>
      <w:r w:rsidRPr="00A3146C">
        <w:t xml:space="preserve"> </w:t>
      </w:r>
      <w:r w:rsidR="00FA74E2">
        <w:t>With the threat of liability looming, i</w:t>
      </w:r>
      <w:r w:rsidRPr="00A3146C">
        <w:t xml:space="preserve">t is economically rational for them to increase </w:t>
      </w:r>
      <w:r w:rsidRPr="00A3146C">
        <w:lastRenderedPageBreak/>
        <w:t>their level of care when undertaking the activity and/or decrease the actual level of the activity so as to reduce the risk of environmental damage occurring.</w:t>
      </w:r>
      <w:r w:rsidRPr="00A3146C">
        <w:rPr>
          <w:vertAlign w:val="superscript"/>
        </w:rPr>
        <w:footnoteReference w:id="141"/>
      </w:r>
      <w:r w:rsidRPr="00A3146C">
        <w:t xml:space="preserve"> </w:t>
      </w:r>
    </w:p>
    <w:p w:rsidR="00373CCD" w:rsidRDefault="00A3146C" w:rsidP="00373CCD">
      <w:pPr>
        <w:pStyle w:val="PhDParagraph"/>
      </w:pPr>
      <w:r w:rsidRPr="00A3146C">
        <w:t>As Neuberger J recognised</w:t>
      </w:r>
      <w:r w:rsidR="0017640D">
        <w:t xml:space="preserve"> in </w:t>
      </w:r>
      <w:r w:rsidR="0017640D" w:rsidRPr="0017640D">
        <w:rPr>
          <w:i/>
        </w:rPr>
        <w:t>Mineral Resources</w:t>
      </w:r>
      <w:r w:rsidRPr="00A3146C">
        <w:t>, whilst disclaimer assists shareholders, creditors, debtors and liquidators and facilitates the administration of commerce,</w:t>
      </w:r>
      <w:r w:rsidRPr="00A3146C">
        <w:rPr>
          <w:vertAlign w:val="superscript"/>
        </w:rPr>
        <w:footnoteReference w:id="142"/>
      </w:r>
      <w:r w:rsidRPr="00A3146C">
        <w:t xml:space="preserve"> these interests </w:t>
      </w:r>
      <w:r w:rsidR="0009181D">
        <w:t>a</w:t>
      </w:r>
      <w:r w:rsidRPr="00A3146C">
        <w:t xml:space="preserve">re of a </w:t>
      </w:r>
      <w:r w:rsidR="0019562B">
        <w:t>‘</w:t>
      </w:r>
      <w:r w:rsidRPr="00A3146C">
        <w:t>…less wide ranging and important nature…</w:t>
      </w:r>
      <w:r w:rsidR="0019562B">
        <w:t>’</w:t>
      </w:r>
      <w:r w:rsidRPr="00A3146C">
        <w:t xml:space="preserve"> than the polluter-pays principle and the furtherance of environmental protection</w:t>
      </w:r>
      <w:r w:rsidRPr="0078737D">
        <w:t>.</w:t>
      </w:r>
      <w:r w:rsidRPr="0078737D">
        <w:rPr>
          <w:vertAlign w:val="superscript"/>
        </w:rPr>
        <w:footnoteReference w:id="143"/>
      </w:r>
      <w:r w:rsidRPr="0078737D">
        <w:t xml:space="preserve"> This reasoning was followed in the Scottish case, </w:t>
      </w:r>
      <w:r w:rsidRPr="0078737D">
        <w:rPr>
          <w:i/>
        </w:rPr>
        <w:t>Joint Liquidators of Scottish Coal Co Ltd v Scottish Environment Protection Agency</w:t>
      </w:r>
      <w:r w:rsidRPr="0078737D">
        <w:t>.</w:t>
      </w:r>
      <w:r w:rsidRPr="0078737D">
        <w:rPr>
          <w:vertAlign w:val="superscript"/>
        </w:rPr>
        <w:footnoteReference w:id="144"/>
      </w:r>
      <w:r w:rsidRPr="00A3146C">
        <w:t xml:space="preserve"> There, in the context of the attempted abandonment or disclaimer of environmental licences by the liquidators, the Lord Chie</w:t>
      </w:r>
      <w:r w:rsidR="00F759EE">
        <w:t xml:space="preserve">f-Justice believed there to be </w:t>
      </w:r>
      <w:r w:rsidR="0019562B">
        <w:t>‘</w:t>
      </w:r>
      <w:r w:rsidRPr="00A3146C">
        <w:t>persuasive</w:t>
      </w:r>
      <w:r w:rsidR="0019562B">
        <w:t>’</w:t>
      </w:r>
      <w:r w:rsidRPr="00A3146C">
        <w:t xml:space="preserve"> factors in favour</w:t>
      </w:r>
      <w:r w:rsidR="00F759EE">
        <w:t xml:space="preserve"> of prioritising the policy of </w:t>
      </w:r>
      <w:r w:rsidR="0019562B">
        <w:t>‘</w:t>
      </w:r>
      <w:r w:rsidR="00F759EE">
        <w:t>maximising</w:t>
      </w:r>
      <w:r w:rsidR="0019562B">
        <w:t>’</w:t>
      </w:r>
      <w:r w:rsidRPr="00A3146C">
        <w:t xml:space="preserve"> environmental protection over the policy of treating unsecured creditors equally.</w:t>
      </w:r>
      <w:r w:rsidRPr="00A3146C">
        <w:rPr>
          <w:vertAlign w:val="superscript"/>
        </w:rPr>
        <w:footnoteReference w:id="145"/>
      </w:r>
      <w:r w:rsidRPr="00A3146C">
        <w:t xml:space="preserve"> </w:t>
      </w:r>
    </w:p>
    <w:p w:rsidR="0017640D" w:rsidRDefault="00A3146C" w:rsidP="0017640D">
      <w:pPr>
        <w:pStyle w:val="PhDParagraph"/>
      </w:pPr>
      <w:r w:rsidRPr="00A3146C">
        <w:t xml:space="preserve">In contrast, Morritt LJ, who gave the only reasoned judgment in </w:t>
      </w:r>
      <w:r w:rsidRPr="00A3146C">
        <w:rPr>
          <w:i/>
        </w:rPr>
        <w:t>Celtic Extraction</w:t>
      </w:r>
      <w:r w:rsidRPr="00A3146C">
        <w:t>, did not believe that the polluter-pays principle, as implemented by the EU Waste Directive, was intended to apply to cases where t</w:t>
      </w:r>
      <w:r w:rsidR="00F759EE">
        <w:t xml:space="preserve">he polluter was unable to pay </w:t>
      </w:r>
      <w:r w:rsidR="0019562B">
        <w:t>‘</w:t>
      </w:r>
      <w:r w:rsidRPr="00A3146C">
        <w:t>...so as to require that the unsecured creditors of the polluter should pay to the extent of the assets availab</w:t>
      </w:r>
      <w:r w:rsidR="00F759EE">
        <w:t>le for distribution among them.</w:t>
      </w:r>
      <w:r w:rsidR="0019562B">
        <w:t>’</w:t>
      </w:r>
      <w:r w:rsidRPr="00A3146C">
        <w:rPr>
          <w:vertAlign w:val="superscript"/>
        </w:rPr>
        <w:footnoteReference w:id="146"/>
      </w:r>
      <w:r w:rsidRPr="00A3146C">
        <w:t xml:space="preserve"> This position was, in his opinion, supported by the policy requirement that the property of insolvents should be divided equally amongst their unsecured creditors;</w:t>
      </w:r>
      <w:r w:rsidRPr="00A3146C">
        <w:rPr>
          <w:vertAlign w:val="superscript"/>
        </w:rPr>
        <w:footnoteReference w:id="147"/>
      </w:r>
      <w:r w:rsidRPr="00A3146C">
        <w:t xml:space="preserve"> the Environment Agency was to be treated just like any other unsecured, non-preferential creditor. The pari passu principle, thus, trumped the polluter-pays principle. </w:t>
      </w:r>
    </w:p>
    <w:p w:rsidR="00F5097D" w:rsidRDefault="00A3146C" w:rsidP="00373CCD">
      <w:pPr>
        <w:pStyle w:val="PhDParagraph"/>
      </w:pPr>
      <w:r w:rsidRPr="00A3146C">
        <w:lastRenderedPageBreak/>
        <w:t xml:space="preserve">There is logic in Morritt LJ’s reasoning. It recognises that </w:t>
      </w:r>
      <w:r w:rsidR="00FA74E2">
        <w:t>t</w:t>
      </w:r>
      <w:r w:rsidR="00363629">
        <w:t>here may come a point, i.e.</w:t>
      </w:r>
      <w:r w:rsidRPr="00A3146C">
        <w:t xml:space="preserve"> on an operator’s entry into insolvency, when the behaviour changing properties facilitated by the polluter-pays principle can no longer be realised. When this point is reached, one solution is to treat all of the operator’s unsecured</w:t>
      </w:r>
      <w:r w:rsidR="00E10F46">
        <w:t>, non-preferential</w:t>
      </w:r>
      <w:r w:rsidRPr="00A3146C">
        <w:t xml:space="preserve"> creditors equally. This logic does, however, ignore a core function of the principle which is to ensure that the polluter</w:t>
      </w:r>
      <w:r w:rsidR="00B50FD4">
        <w:t xml:space="preserve"> – and not society –</w:t>
      </w:r>
      <w:r w:rsidRPr="00A3146C">
        <w:t xml:space="preserve"> pays to remediate environmental damage caused by </w:t>
      </w:r>
      <w:r w:rsidR="00B50FD4">
        <w:t xml:space="preserve">the </w:t>
      </w:r>
      <w:r w:rsidR="00B50FD4" w:rsidRPr="00692753">
        <w:t>polluter’s</w:t>
      </w:r>
      <w:r w:rsidRPr="00692753">
        <w:t xml:space="preserve"> activities. If an operator could merely enter into insolvency proceedings to shed its environmental </w:t>
      </w:r>
      <w:r w:rsidR="00FA74E2" w:rsidRPr="00692753">
        <w:t>liabilities</w:t>
      </w:r>
      <w:r w:rsidRPr="00692753">
        <w:t>, this crucial function of the principle would be frustrated</w:t>
      </w:r>
      <w:r w:rsidR="00F41698" w:rsidRPr="00692753">
        <w:t xml:space="preserve"> with disconcerting ease</w:t>
      </w:r>
      <w:r w:rsidR="0063751B" w:rsidRPr="00692753">
        <w:t xml:space="preserve">. It would result in society bearing the burden of the operator’s environmental obligations. </w:t>
      </w:r>
      <w:r w:rsidRPr="00692753">
        <w:t>Moreover, as has been</w:t>
      </w:r>
      <w:r w:rsidRPr="00A3146C">
        <w:t xml:space="preserve"> argued </w:t>
      </w:r>
      <w:r w:rsidR="006A18E0">
        <w:t>above</w:t>
      </w:r>
      <w:r w:rsidRPr="00A3146C">
        <w:t xml:space="preserve">, the prospect of long-term environmental damage and risk to human health which may flow from disclaimed, but unremediated or unrestored land should outweigh the pari passu principle. </w:t>
      </w:r>
    </w:p>
    <w:p w:rsidR="00F5097D" w:rsidRPr="0023269E" w:rsidRDefault="00F5097D" w:rsidP="00E10F46">
      <w:pPr>
        <w:pStyle w:val="PhDParagraph"/>
      </w:pPr>
      <w:r w:rsidRPr="0023269E">
        <w:t xml:space="preserve">A </w:t>
      </w:r>
      <w:r w:rsidR="00684EC4" w:rsidRPr="0023269E">
        <w:t>further</w:t>
      </w:r>
      <w:r w:rsidRPr="0023269E">
        <w:t xml:space="preserve"> benefit of prioritising the polluter-pays principle </w:t>
      </w:r>
      <w:r w:rsidR="00A95F40" w:rsidRPr="0023269E">
        <w:t>relates to the</w:t>
      </w:r>
      <w:r w:rsidRPr="0023269E">
        <w:t xml:space="preserve"> </w:t>
      </w:r>
      <w:r w:rsidR="00A77723" w:rsidRPr="0023269E">
        <w:t xml:space="preserve">increased </w:t>
      </w:r>
      <w:r w:rsidRPr="0023269E">
        <w:t>incentive which it creates for the operator’s unsecured creditors</w:t>
      </w:r>
      <w:r w:rsidR="00CD12CE" w:rsidRPr="0023269E">
        <w:t xml:space="preserve">, </w:t>
      </w:r>
      <w:r w:rsidR="00D35AB9" w:rsidRPr="0023269E">
        <w:t xml:space="preserve">both </w:t>
      </w:r>
      <w:r w:rsidR="00CD12CE" w:rsidRPr="0023269E">
        <w:t>present and future</w:t>
      </w:r>
      <w:r w:rsidRPr="0023269E">
        <w:t xml:space="preserve">. </w:t>
      </w:r>
      <w:r w:rsidR="00DC5C0E" w:rsidRPr="0023269E">
        <w:t>The</w:t>
      </w:r>
      <w:r w:rsidRPr="0023269E">
        <w:t xml:space="preserve"> concern that </w:t>
      </w:r>
      <w:r w:rsidR="00C86FA7" w:rsidRPr="0023269E">
        <w:t>an operator’s</w:t>
      </w:r>
      <w:r w:rsidR="00A95F40" w:rsidRPr="0023269E">
        <w:t xml:space="preserve"> </w:t>
      </w:r>
      <w:r w:rsidRPr="0023269E">
        <w:t xml:space="preserve">environmental liabilities </w:t>
      </w:r>
      <w:r w:rsidR="00A95F40" w:rsidRPr="0023269E">
        <w:t>could</w:t>
      </w:r>
      <w:r w:rsidRPr="0023269E">
        <w:t xml:space="preserve"> deplete the pool of assets available to satisfy their claims on insolvency may </w:t>
      </w:r>
      <w:r w:rsidR="00A95F40" w:rsidRPr="0023269E">
        <w:t xml:space="preserve">lead to </w:t>
      </w:r>
      <w:r w:rsidR="00C86FA7" w:rsidRPr="0023269E">
        <w:t>a</w:t>
      </w:r>
      <w:r w:rsidR="00A601E1" w:rsidRPr="0023269E">
        <w:t xml:space="preserve"> </w:t>
      </w:r>
      <w:r w:rsidRPr="0023269E">
        <w:t>closer</w:t>
      </w:r>
      <w:r w:rsidR="00C86FA7" w:rsidRPr="0023269E">
        <w:t xml:space="preserve"> degree of</w:t>
      </w:r>
      <w:r w:rsidRPr="0023269E">
        <w:t xml:space="preserve"> monitoring </w:t>
      </w:r>
      <w:r w:rsidR="00A95F40" w:rsidRPr="0023269E">
        <w:t>of its</w:t>
      </w:r>
      <w:r w:rsidRPr="0023269E">
        <w:t xml:space="preserve"> environmental </w:t>
      </w:r>
      <w:r w:rsidR="00C86FA7" w:rsidRPr="0023269E">
        <w:t>risk</w:t>
      </w:r>
      <w:r w:rsidR="0023269E" w:rsidRPr="0023269E">
        <w:t>s</w:t>
      </w:r>
      <w:r w:rsidRPr="0023269E">
        <w:t>.</w:t>
      </w:r>
      <w:r w:rsidR="00A601E1" w:rsidRPr="0023269E">
        <w:rPr>
          <w:rStyle w:val="FootnoteReference"/>
          <w:rFonts w:cs="Arial"/>
        </w:rPr>
        <w:footnoteReference w:id="148"/>
      </w:r>
      <w:r w:rsidRPr="0023269E">
        <w:t xml:space="preserve"> </w:t>
      </w:r>
      <w:r w:rsidR="00264FD3" w:rsidRPr="0023269E">
        <w:t>E</w:t>
      </w:r>
      <w:r w:rsidR="00DC5C0E" w:rsidRPr="0023269E">
        <w:t xml:space="preserve">x ante </w:t>
      </w:r>
      <w:r w:rsidR="00A95F40" w:rsidRPr="0023269E">
        <w:t xml:space="preserve">assessment </w:t>
      </w:r>
      <w:r w:rsidR="00E10F46">
        <w:t xml:space="preserve">by the unsecured creditors </w:t>
      </w:r>
      <w:r w:rsidR="00264FD3" w:rsidRPr="0023269E">
        <w:t>of the operator’s environmental risk</w:t>
      </w:r>
      <w:r w:rsidR="0023269E" w:rsidRPr="0023269E">
        <w:t>s</w:t>
      </w:r>
      <w:r w:rsidR="00264FD3" w:rsidRPr="0023269E">
        <w:t xml:space="preserve"> </w:t>
      </w:r>
      <w:r w:rsidRPr="0023269E">
        <w:t xml:space="preserve">will not only confer a degree of protection upon </w:t>
      </w:r>
      <w:r w:rsidR="00E10F46">
        <w:t>them</w:t>
      </w:r>
      <w:r w:rsidRPr="0023269E">
        <w:t xml:space="preserve"> </w:t>
      </w:r>
      <w:r w:rsidR="00CD12CE" w:rsidRPr="0023269E">
        <w:t xml:space="preserve">in that they </w:t>
      </w:r>
      <w:r w:rsidR="00E10F46">
        <w:t>may</w:t>
      </w:r>
      <w:r w:rsidR="00CD12CE" w:rsidRPr="0023269E">
        <w:t xml:space="preserve"> reduce </w:t>
      </w:r>
      <w:r w:rsidR="00E10F46">
        <w:t>the prospect</w:t>
      </w:r>
      <w:r w:rsidR="00C86FA7" w:rsidRPr="0023269E">
        <w:t xml:space="preserve"> of suffering </w:t>
      </w:r>
      <w:r w:rsidR="00CD12CE" w:rsidRPr="0023269E">
        <w:t xml:space="preserve">loss </w:t>
      </w:r>
      <w:r w:rsidRPr="0023269E">
        <w:t xml:space="preserve">but it </w:t>
      </w:r>
      <w:r w:rsidR="00A95F40" w:rsidRPr="0023269E">
        <w:t>proffers potential for</w:t>
      </w:r>
      <w:r w:rsidRPr="0023269E">
        <w:t xml:space="preserve"> ‘surrogate’ regulation.</w:t>
      </w:r>
      <w:r w:rsidR="00684EC4" w:rsidRPr="0023269E">
        <w:rPr>
          <w:rStyle w:val="FootnoteReference"/>
          <w:rFonts w:cs="Arial"/>
        </w:rPr>
        <w:footnoteReference w:id="149"/>
      </w:r>
      <w:r w:rsidRPr="0023269E">
        <w:t xml:space="preserve"> </w:t>
      </w:r>
      <w:r w:rsidR="00684EC4" w:rsidRPr="0023269E">
        <w:t>T</w:t>
      </w:r>
      <w:r w:rsidR="00ED3F36" w:rsidRPr="0023269E">
        <w:t xml:space="preserve">he literature diverges </w:t>
      </w:r>
      <w:r w:rsidR="00CD12CE" w:rsidRPr="0023269E">
        <w:t>marginally over</w:t>
      </w:r>
      <w:r w:rsidR="00684EC4" w:rsidRPr="0023269E">
        <w:t xml:space="preserve"> </w:t>
      </w:r>
      <w:r w:rsidR="00ED3F36" w:rsidRPr="0023269E">
        <w:t>what surrogate regulation actually entails</w:t>
      </w:r>
      <w:r w:rsidR="00684EC4" w:rsidRPr="0023269E">
        <w:t xml:space="preserve"> but there are </w:t>
      </w:r>
      <w:r w:rsidR="00684EC4" w:rsidRPr="0023269E">
        <w:lastRenderedPageBreak/>
        <w:t>two common themes</w:t>
      </w:r>
      <w:r w:rsidR="00ED3F36" w:rsidRPr="0023269E">
        <w:t xml:space="preserve">: first, </w:t>
      </w:r>
      <w:r w:rsidR="00684EC4" w:rsidRPr="0023269E">
        <w:t>private parties set standards with which the operator must conform</w:t>
      </w:r>
      <w:r w:rsidR="00ED3F36" w:rsidRPr="0023269E">
        <w:t xml:space="preserve">, and secondly, </w:t>
      </w:r>
      <w:r w:rsidR="00684EC4" w:rsidRPr="0023269E">
        <w:t>where there is a failure by the operator to meet these standards a sanction is imposed by the private party</w:t>
      </w:r>
      <w:r w:rsidR="00ED3F36" w:rsidRPr="0023269E">
        <w:t>.</w:t>
      </w:r>
      <w:r w:rsidR="00ED3F36" w:rsidRPr="0023269E">
        <w:rPr>
          <w:vertAlign w:val="superscript"/>
        </w:rPr>
        <w:footnoteReference w:id="150"/>
      </w:r>
      <w:r w:rsidR="00ED3F36" w:rsidRPr="0023269E">
        <w:t xml:space="preserve"> </w:t>
      </w:r>
      <w:r w:rsidR="00CD12CE" w:rsidRPr="0023269E">
        <w:t>For present purposes</w:t>
      </w:r>
      <w:r w:rsidR="00A95F40" w:rsidRPr="0023269E">
        <w:t>, t</w:t>
      </w:r>
      <w:r w:rsidR="00ED3F36" w:rsidRPr="0023269E">
        <w:t xml:space="preserve">he requisite standard </w:t>
      </w:r>
      <w:r w:rsidR="00A95F40" w:rsidRPr="0023269E">
        <w:t>could</w:t>
      </w:r>
      <w:r w:rsidR="00ED3F36" w:rsidRPr="0023269E">
        <w:t xml:space="preserve"> be the level of environmental </w:t>
      </w:r>
      <w:r w:rsidR="00C86FA7" w:rsidRPr="0023269E">
        <w:t>risk</w:t>
      </w:r>
      <w:r w:rsidR="00ED3F36" w:rsidRPr="0023269E">
        <w:t xml:space="preserve"> perceived to be </w:t>
      </w:r>
      <w:r w:rsidR="00A95F40" w:rsidRPr="0023269E">
        <w:t>tolerable by</w:t>
      </w:r>
      <w:r w:rsidR="00ED3F36" w:rsidRPr="0023269E">
        <w:t xml:space="preserve"> </w:t>
      </w:r>
      <w:r w:rsidR="00CD12CE" w:rsidRPr="0023269E">
        <w:t>a particular</w:t>
      </w:r>
      <w:r w:rsidR="00ED3F36" w:rsidRPr="0023269E">
        <w:t xml:space="preserve"> unsecured</w:t>
      </w:r>
      <w:r w:rsidR="00E10F46">
        <w:t>, non-preferential</w:t>
      </w:r>
      <w:r w:rsidR="00ED3F36" w:rsidRPr="0023269E">
        <w:t xml:space="preserve"> creditor</w:t>
      </w:r>
      <w:r w:rsidR="00A95F40" w:rsidRPr="0023269E">
        <w:t xml:space="preserve"> whilst</w:t>
      </w:r>
      <w:r w:rsidR="00ED3F36" w:rsidRPr="0023269E">
        <w:t xml:space="preserve"> the sanction would their failure to offer credit</w:t>
      </w:r>
      <w:r w:rsidR="00CD12CE" w:rsidRPr="0023269E">
        <w:t xml:space="preserve"> or their withdrawal of </w:t>
      </w:r>
      <w:r w:rsidR="00C86FA7" w:rsidRPr="0023269E">
        <w:t>existing credit</w:t>
      </w:r>
      <w:r w:rsidR="00ED3F36" w:rsidRPr="0023269E">
        <w:t xml:space="preserve">. </w:t>
      </w:r>
      <w:r w:rsidR="009F288B">
        <w:t>A</w:t>
      </w:r>
      <w:r w:rsidR="008E11A9" w:rsidRPr="0023269E">
        <w:t>n</w:t>
      </w:r>
      <w:r w:rsidRPr="0023269E">
        <w:t xml:space="preserve"> operator </w:t>
      </w:r>
      <w:r w:rsidR="009F288B">
        <w:t xml:space="preserve">may </w:t>
      </w:r>
      <w:r w:rsidRPr="0023269E">
        <w:t>be unable to engage trade creditors owing to</w:t>
      </w:r>
      <w:r w:rsidR="00CD12CE" w:rsidRPr="0023269E">
        <w:t xml:space="preserve"> </w:t>
      </w:r>
      <w:r w:rsidR="009F288B">
        <w:t xml:space="preserve">their </w:t>
      </w:r>
      <w:r w:rsidR="00CD12CE" w:rsidRPr="0023269E">
        <w:t>dissatisfaction with</w:t>
      </w:r>
      <w:r w:rsidRPr="0023269E">
        <w:t xml:space="preserve"> its environmental practices</w:t>
      </w:r>
      <w:r w:rsidR="009F288B">
        <w:t>. If so</w:t>
      </w:r>
      <w:r w:rsidRPr="0023269E">
        <w:t>, it</w:t>
      </w:r>
      <w:r w:rsidR="00A95F40" w:rsidRPr="0023269E">
        <w:t xml:space="preserve"> is presumed that it</w:t>
      </w:r>
      <w:r w:rsidRPr="0023269E">
        <w:t xml:space="preserve"> </w:t>
      </w:r>
      <w:r w:rsidR="00A95F40" w:rsidRPr="0023269E">
        <w:t xml:space="preserve">will either be forced to leave the market or it </w:t>
      </w:r>
      <w:r w:rsidRPr="0023269E">
        <w:t xml:space="preserve">may </w:t>
      </w:r>
      <w:r w:rsidR="009F288B">
        <w:t>adopt</w:t>
      </w:r>
      <w:r w:rsidRPr="0023269E">
        <w:t xml:space="preserve"> safer and more responsible approaches to how its activities are undertaken</w:t>
      </w:r>
      <w:r w:rsidR="00A95F40" w:rsidRPr="0023269E">
        <w:t xml:space="preserve"> </w:t>
      </w:r>
      <w:r w:rsidR="009F288B">
        <w:t>in order</w:t>
      </w:r>
      <w:r w:rsidR="00A95F40" w:rsidRPr="0023269E">
        <w:t xml:space="preserve"> to reduce its environmental risk</w:t>
      </w:r>
      <w:r w:rsidR="0023269E" w:rsidRPr="0023269E">
        <w:t>s</w:t>
      </w:r>
      <w:r w:rsidRPr="0023269E">
        <w:t>.</w:t>
      </w:r>
      <w:r w:rsidR="00ED3F36" w:rsidRPr="0023269E">
        <w:t xml:space="preserve"> </w:t>
      </w:r>
      <w:r w:rsidR="00684EC4" w:rsidRPr="0023269E">
        <w:t xml:space="preserve">Both are, at least from the perspective of environmental protection, positive outcomes. </w:t>
      </w:r>
      <w:r w:rsidR="009F288B">
        <w:t>The prospect of unsecured creditors acting as ‘surrogate’ regulators of the operator’s activities may bolster t</w:t>
      </w:r>
      <w:r w:rsidR="004F7E78">
        <w:t>raditional forms of regulation:</w:t>
      </w:r>
      <w:r w:rsidR="009F288B">
        <w:t xml:space="preserve"> the</w:t>
      </w:r>
      <w:r w:rsidR="00A3405E">
        <w:t xml:space="preserve"> </w:t>
      </w:r>
      <w:r w:rsidR="00ED3F36" w:rsidRPr="0023269E">
        <w:t xml:space="preserve">direct regulation of the operator, engaged through the terms of its permit, licence or other authorisation to </w:t>
      </w:r>
      <w:r w:rsidR="00A3405E">
        <w:t>which it is required to comply and the</w:t>
      </w:r>
      <w:r w:rsidR="00ED3F36" w:rsidRPr="0023269E">
        <w:t xml:space="preserve"> market-based </w:t>
      </w:r>
      <w:r w:rsidR="00684EC4" w:rsidRPr="0023269E">
        <w:t xml:space="preserve">incentive </w:t>
      </w:r>
      <w:r w:rsidR="00ED3F36" w:rsidRPr="0023269E">
        <w:t xml:space="preserve">facilitated by the attribution of </w:t>
      </w:r>
      <w:r w:rsidR="00684EC4" w:rsidRPr="0023269E">
        <w:t>environmental liability</w:t>
      </w:r>
      <w:r w:rsidR="00A3405E">
        <w:t>.</w:t>
      </w:r>
      <w:r w:rsidR="00D35AB9" w:rsidRPr="0023269E">
        <w:t xml:space="preserve"> </w:t>
      </w:r>
    </w:p>
    <w:p w:rsidR="00BF2EAE" w:rsidRDefault="00A3146C" w:rsidP="00E10F46">
      <w:pPr>
        <w:pStyle w:val="PhDParagraph"/>
      </w:pPr>
      <w:r w:rsidRPr="00A3146C">
        <w:t xml:space="preserve">To conclude, whilst a regulator’s attempt to recover costs may be hindered by </w:t>
      </w:r>
      <w:r w:rsidR="009F288B">
        <w:t>section 178</w:t>
      </w:r>
      <w:r w:rsidRPr="00A3146C">
        <w:t xml:space="preserve">, prohibiting </w:t>
      </w:r>
      <w:r w:rsidR="009F288B">
        <w:t>disclaimer</w:t>
      </w:r>
      <w:r w:rsidRPr="00A3146C">
        <w:t xml:space="preserve"> would not eliminate the residual risk, financial and environmental, to which society is exposed by </w:t>
      </w:r>
      <w:r w:rsidR="00E07A11" w:rsidRPr="00E07A11">
        <w:t>self-insurance</w:t>
      </w:r>
      <w:r w:rsidRPr="00A3146C">
        <w:t xml:space="preserve">’s failure to require assets and/or funds to be set aside. Whilst the regulator may be better placed to recover some of its costs, a company in liquidation has limited funds to satisfy the claims of all its creditors. </w:t>
      </w:r>
      <w:r w:rsidR="00030C4D">
        <w:t>In any event, it appears from a recent report from D</w:t>
      </w:r>
      <w:r w:rsidR="00A73B26">
        <w:t>efra</w:t>
      </w:r>
      <w:r w:rsidR="00030C4D">
        <w:t xml:space="preserve"> that owing to the need to ‘</w:t>
      </w:r>
      <w:r w:rsidR="00363629">
        <w:t>...</w:t>
      </w:r>
      <w:r w:rsidR="00030C4D">
        <w:t>protect the liquidator’s role</w:t>
      </w:r>
      <w:r w:rsidR="00363629">
        <w:t>...</w:t>
      </w:r>
      <w:r w:rsidR="00030C4D">
        <w:t xml:space="preserve">’ there is little prospect of </w:t>
      </w:r>
      <w:r w:rsidR="00030C4D" w:rsidRPr="00030C4D">
        <w:t xml:space="preserve">insolvency legislation </w:t>
      </w:r>
      <w:r w:rsidR="00030C4D">
        <w:t>being amended so as to</w:t>
      </w:r>
      <w:r w:rsidR="00030C4D" w:rsidRPr="00030C4D">
        <w:t xml:space="preserve"> prevent an environmental permit from being disclaimed</w:t>
      </w:r>
      <w:r w:rsidR="00030C4D">
        <w:t>.</w:t>
      </w:r>
      <w:r w:rsidR="00030C4D">
        <w:rPr>
          <w:rStyle w:val="FootnoteReference"/>
          <w:rFonts w:cs="Arial"/>
        </w:rPr>
        <w:footnoteReference w:id="151"/>
      </w:r>
      <w:r w:rsidR="00030C4D">
        <w:t xml:space="preserve"> The same argument may be applied to other forms of property, such as damaged or contaminated land.</w:t>
      </w:r>
      <w:r w:rsidR="003A12F7" w:rsidRPr="003A12F7">
        <w:t xml:space="preserve"> </w:t>
      </w:r>
      <w:r w:rsidR="003A12F7">
        <w:t>Other</w:t>
      </w:r>
      <w:r w:rsidR="003A12F7" w:rsidRPr="00A3146C">
        <w:t xml:space="preserve"> solutions, such as those discussed below, </w:t>
      </w:r>
      <w:r w:rsidR="003A12F7">
        <w:t>must be utilised</w:t>
      </w:r>
      <w:r w:rsidR="003A12F7" w:rsidRPr="00A3146C">
        <w:t xml:space="preserve"> if the residual risk</w:t>
      </w:r>
      <w:r w:rsidR="00363629">
        <w:t xml:space="preserve"> associated with </w:t>
      </w:r>
      <w:r w:rsidR="00E07A11" w:rsidRPr="00E07A11">
        <w:t>self-insurance</w:t>
      </w:r>
      <w:r w:rsidR="00363629">
        <w:t>, as traditionally conceived,</w:t>
      </w:r>
      <w:r w:rsidR="003A12F7" w:rsidRPr="00A3146C">
        <w:t xml:space="preserve"> is to be reduced.</w:t>
      </w:r>
    </w:p>
    <w:p w:rsidR="00E10F46" w:rsidRDefault="00E10F46" w:rsidP="004F7E78">
      <w:pPr>
        <w:keepNext/>
        <w:widowControl w:val="0"/>
        <w:spacing w:after="0" w:line="480" w:lineRule="auto"/>
        <w:jc w:val="both"/>
        <w:rPr>
          <w:rFonts w:ascii="Arial" w:hAnsi="Arial" w:cs="Arial"/>
        </w:rPr>
      </w:pPr>
    </w:p>
    <w:p w:rsidR="00092140" w:rsidRDefault="00C9715D" w:rsidP="00C9715D">
      <w:pPr>
        <w:pStyle w:val="Heading3"/>
        <w:numPr>
          <w:ilvl w:val="0"/>
          <w:numId w:val="0"/>
        </w:numPr>
      </w:pPr>
      <w:bookmarkStart w:id="7" w:name="_Ref401304192"/>
      <w:r>
        <w:lastRenderedPageBreak/>
        <w:t xml:space="preserve">(b) </w:t>
      </w:r>
      <w:r w:rsidR="00092140">
        <w:t xml:space="preserve">Scenario 2: </w:t>
      </w:r>
      <w:r>
        <w:t>Cost Recovery and Competing Security</w:t>
      </w:r>
      <w:bookmarkEnd w:id="7"/>
    </w:p>
    <w:p w:rsidR="00A02099" w:rsidRPr="00A02099" w:rsidRDefault="00A02099" w:rsidP="007165EB">
      <w:pPr>
        <w:pStyle w:val="PhDParagraph"/>
      </w:pPr>
    </w:p>
    <w:p w:rsidR="00442665" w:rsidRPr="00F36482" w:rsidRDefault="00442665" w:rsidP="004F7E78">
      <w:pPr>
        <w:pStyle w:val="PhDParagraphnoIdent"/>
        <w:rPr>
          <w:rFonts w:eastAsia="Calibri" w:cs="Arial"/>
        </w:rPr>
      </w:pPr>
      <w:r>
        <w:t xml:space="preserve">The second scenario </w:t>
      </w:r>
      <w:r w:rsidRPr="00AD3C55">
        <w:t>relat</w:t>
      </w:r>
      <w:r>
        <w:t xml:space="preserve">es to the </w:t>
      </w:r>
      <w:r w:rsidR="002F2B04">
        <w:t xml:space="preserve">priority of a charge taken by the regulator </w:t>
      </w:r>
      <w:r>
        <w:t xml:space="preserve">over the </w:t>
      </w:r>
      <w:r w:rsidR="00E07A11">
        <w:t>self-insuring</w:t>
      </w:r>
      <w:r>
        <w:t xml:space="preserve"> operator’s premises</w:t>
      </w:r>
      <w:r w:rsidRPr="009D7B86">
        <w:t xml:space="preserve"> </w:t>
      </w:r>
      <w:r>
        <w:t>in respect of costs incurred</w:t>
      </w:r>
      <w:r w:rsidR="002F2B04">
        <w:t xml:space="preserve"> by it</w:t>
      </w:r>
      <w:r>
        <w:t xml:space="preserve"> </w:t>
      </w:r>
      <w:r w:rsidR="006D481A">
        <w:t>in fulfilling the operator’s environmental obligations</w:t>
      </w:r>
      <w:r>
        <w:t xml:space="preserve">. This </w:t>
      </w:r>
      <w:r w:rsidR="00665BBC">
        <w:t>may be levied</w:t>
      </w:r>
      <w:r w:rsidR="00D44929">
        <w:t xml:space="preserve"> under</w:t>
      </w:r>
      <w:r>
        <w:t xml:space="preserve"> a variety of environmental liability regimes</w:t>
      </w:r>
      <w:r w:rsidR="00B8166D">
        <w:t xml:space="preserve"> in </w:t>
      </w:r>
      <w:r w:rsidR="0009181D">
        <w:t>the UK</w:t>
      </w:r>
      <w:r>
        <w:t>.</w:t>
      </w:r>
      <w:r>
        <w:rPr>
          <w:rStyle w:val="FootnoteReference"/>
        </w:rPr>
        <w:footnoteReference w:id="152"/>
      </w:r>
      <w:r>
        <w:t xml:space="preserve"> Where such a charge </w:t>
      </w:r>
      <w:r w:rsidR="00D44929">
        <w:t>arises</w:t>
      </w:r>
      <w:r>
        <w:t xml:space="preserve">, the </w:t>
      </w:r>
      <w:r w:rsidR="002F2B04">
        <w:t>regulator</w:t>
      </w:r>
      <w:r>
        <w:t xml:space="preserve"> can exercise the power of sale conferred under </w:t>
      </w:r>
      <w:r w:rsidR="001538F5">
        <w:t>the regime</w:t>
      </w:r>
      <w:r>
        <w:t xml:space="preserve"> to recover </w:t>
      </w:r>
      <w:r w:rsidR="002F2B04">
        <w:t>such</w:t>
      </w:r>
      <w:r>
        <w:t xml:space="preserve"> costs. </w:t>
      </w:r>
      <w:r>
        <w:rPr>
          <w:rFonts w:eastAsia="Calibri" w:cs="Arial"/>
        </w:rPr>
        <w:t xml:space="preserve">There may, of course, be pre-existing charge holders, such as a bank with a mortgage </w:t>
      </w:r>
      <w:r w:rsidR="00432A34">
        <w:rPr>
          <w:rFonts w:eastAsia="Calibri" w:cs="Arial"/>
        </w:rPr>
        <w:t xml:space="preserve">over </w:t>
      </w:r>
      <w:r w:rsidR="00B03531">
        <w:rPr>
          <w:rFonts w:eastAsia="Calibri" w:cs="Arial"/>
        </w:rPr>
        <w:t>the</w:t>
      </w:r>
      <w:r w:rsidR="00432A34">
        <w:rPr>
          <w:rFonts w:eastAsia="Calibri" w:cs="Arial"/>
        </w:rPr>
        <w:t xml:space="preserve"> property </w:t>
      </w:r>
      <w:r>
        <w:rPr>
          <w:rFonts w:eastAsia="Calibri" w:cs="Arial"/>
        </w:rPr>
        <w:t>or a debenture</w:t>
      </w:r>
      <w:r w:rsidR="00432A34">
        <w:rPr>
          <w:rFonts w:eastAsia="Calibri" w:cs="Arial"/>
        </w:rPr>
        <w:t xml:space="preserve"> </w:t>
      </w:r>
      <w:r w:rsidR="00BD4090">
        <w:rPr>
          <w:rFonts w:eastAsia="Calibri" w:cs="Arial"/>
        </w:rPr>
        <w:t xml:space="preserve">comprising fixed and floating charges </w:t>
      </w:r>
      <w:r w:rsidR="00432A34">
        <w:rPr>
          <w:rFonts w:eastAsia="Calibri" w:cs="Arial"/>
        </w:rPr>
        <w:t>over the operator’s assets</w:t>
      </w:r>
      <w:r>
        <w:rPr>
          <w:rFonts w:eastAsia="Calibri" w:cs="Arial"/>
        </w:rPr>
        <w:t xml:space="preserve">. Clearly, the level of priority afforded to the </w:t>
      </w:r>
      <w:r w:rsidR="002F2B04">
        <w:rPr>
          <w:rFonts w:eastAsia="Calibri" w:cs="Arial"/>
        </w:rPr>
        <w:t>regulator</w:t>
      </w:r>
      <w:r w:rsidRPr="007A5F81">
        <w:rPr>
          <w:rFonts w:eastAsia="Calibri" w:cs="Arial"/>
        </w:rPr>
        <w:t xml:space="preserve"> </w:t>
      </w:r>
      <w:r w:rsidR="002F2B04">
        <w:rPr>
          <w:rFonts w:eastAsia="Calibri" w:cs="Arial"/>
        </w:rPr>
        <w:t>has</w:t>
      </w:r>
      <w:r>
        <w:rPr>
          <w:rFonts w:eastAsia="Calibri" w:cs="Arial"/>
        </w:rPr>
        <w:t xml:space="preserve"> direct implications for the level of residual risk borne by society</w:t>
      </w:r>
      <w:r w:rsidR="00C23285">
        <w:rPr>
          <w:rFonts w:eastAsia="Calibri" w:cs="Arial"/>
        </w:rPr>
        <w:t>; t</w:t>
      </w:r>
      <w:r w:rsidR="00B03531">
        <w:rPr>
          <w:rFonts w:eastAsia="Calibri" w:cs="Arial"/>
        </w:rPr>
        <w:t>he</w:t>
      </w:r>
      <w:r>
        <w:rPr>
          <w:rFonts w:eastAsia="Calibri" w:cs="Arial"/>
        </w:rPr>
        <w:t xml:space="preserve"> higher the priority, the greater the likelihood </w:t>
      </w:r>
      <w:r w:rsidR="004F7E78">
        <w:rPr>
          <w:rFonts w:eastAsia="Calibri" w:cs="Arial"/>
        </w:rPr>
        <w:t>of a successful</w:t>
      </w:r>
      <w:r>
        <w:rPr>
          <w:rFonts w:eastAsia="Calibri" w:cs="Arial"/>
        </w:rPr>
        <w:t xml:space="preserve"> cost recovery and vice versa.</w:t>
      </w:r>
      <w:r w:rsidR="003E2A07">
        <w:rPr>
          <w:rFonts w:eastAsia="Calibri" w:cs="Arial"/>
        </w:rPr>
        <w:t xml:space="preserve"> A charge arising over the </w:t>
      </w:r>
      <w:r w:rsidR="004D3179">
        <w:rPr>
          <w:rFonts w:eastAsia="Calibri" w:cs="Arial"/>
        </w:rPr>
        <w:t xml:space="preserve">real </w:t>
      </w:r>
      <w:r w:rsidR="003E2A07">
        <w:rPr>
          <w:rFonts w:eastAsia="Calibri" w:cs="Arial"/>
        </w:rPr>
        <w:t xml:space="preserve">property of a </w:t>
      </w:r>
      <w:r w:rsidR="00E07A11">
        <w:rPr>
          <w:rFonts w:eastAsia="Calibri" w:cs="Arial"/>
        </w:rPr>
        <w:t xml:space="preserve">self-insuring </w:t>
      </w:r>
      <w:r w:rsidR="003E2A07">
        <w:rPr>
          <w:rFonts w:eastAsia="Calibri" w:cs="Arial"/>
        </w:rPr>
        <w:t xml:space="preserve">operator, and ranking in priority </w:t>
      </w:r>
      <w:r w:rsidR="001538F5">
        <w:rPr>
          <w:rFonts w:eastAsia="Calibri" w:cs="Arial"/>
        </w:rPr>
        <w:t>to</w:t>
      </w:r>
      <w:r w:rsidR="003E2A07">
        <w:rPr>
          <w:rFonts w:eastAsia="Calibri" w:cs="Arial"/>
        </w:rPr>
        <w:t xml:space="preserve"> any other charges held over that property, offers a valuable means of strengthening the measure’s remedial capacity.</w:t>
      </w:r>
    </w:p>
    <w:p w:rsidR="00442665" w:rsidRDefault="00442665" w:rsidP="00E64476">
      <w:pPr>
        <w:pStyle w:val="PhDParagraph"/>
      </w:pPr>
      <w:r w:rsidRPr="00724C33">
        <w:t xml:space="preserve">The </w:t>
      </w:r>
      <w:r w:rsidR="0009181D">
        <w:t>Environmental Liability Directive</w:t>
      </w:r>
      <w:r w:rsidR="00615C08">
        <w:rPr>
          <w:rStyle w:val="FootnoteReference"/>
        </w:rPr>
        <w:footnoteReference w:id="153"/>
      </w:r>
      <w:r w:rsidR="00615C08">
        <w:t xml:space="preserve"> </w:t>
      </w:r>
      <w:r w:rsidR="0009181D">
        <w:t>(</w:t>
      </w:r>
      <w:r w:rsidRPr="00724C33">
        <w:t>ELD</w:t>
      </w:r>
      <w:r w:rsidR="0009181D">
        <w:t>)</w:t>
      </w:r>
      <w:r w:rsidRPr="00724C33">
        <w:t xml:space="preserve"> provide</w:t>
      </w:r>
      <w:r w:rsidR="00FC7B9B" w:rsidRPr="00724C33">
        <w:t>s</w:t>
      </w:r>
      <w:r w:rsidRPr="00724C33">
        <w:t xml:space="preserve"> a useful </w:t>
      </w:r>
      <w:r w:rsidR="009B4871">
        <w:t>‘</w:t>
      </w:r>
      <w:r w:rsidR="0009181D">
        <w:t>case-study</w:t>
      </w:r>
      <w:r w:rsidR="009B4871">
        <w:t>’</w:t>
      </w:r>
      <w:r w:rsidR="00FC7B9B" w:rsidRPr="00724C33">
        <w:t xml:space="preserve"> recognising, of course, that the UK </w:t>
      </w:r>
      <w:r w:rsidR="0017568B">
        <w:t>has</w:t>
      </w:r>
      <w:r w:rsidR="00FC7B9B" w:rsidRPr="00724C33">
        <w:t xml:space="preserve"> not</w:t>
      </w:r>
      <w:r w:rsidR="00FC7B9B">
        <w:t xml:space="preserve"> transpose</w:t>
      </w:r>
      <w:r w:rsidR="0017568B">
        <w:t>d</w:t>
      </w:r>
      <w:r w:rsidR="00FC7B9B">
        <w:t xml:space="preserve"> it to introduce mandatory financial security for environmental damage</w:t>
      </w:r>
      <w:r w:rsidR="009127D2">
        <w:t>.</w:t>
      </w:r>
      <w:r>
        <w:t xml:space="preserve"> </w:t>
      </w:r>
      <w:r w:rsidR="0009181D">
        <w:t>The ELD</w:t>
      </w:r>
      <w:r w:rsidR="00BD4090">
        <w:t xml:space="preserve"> is</w:t>
      </w:r>
      <w:r w:rsidR="00FC7B9B">
        <w:t xml:space="preserve"> based on the polluter-pays principle,</w:t>
      </w:r>
      <w:r w:rsidR="00FC7B9B">
        <w:rPr>
          <w:rStyle w:val="FootnoteReference"/>
        </w:rPr>
        <w:footnoteReference w:id="154"/>
      </w:r>
      <w:r w:rsidR="00BD4090">
        <w:t xml:space="preserve"> and</w:t>
      </w:r>
      <w:r w:rsidRPr="00EC6EF8">
        <w:t xml:space="preserve"> establishe</w:t>
      </w:r>
      <w:r w:rsidR="002F2B04">
        <w:t>d</w:t>
      </w:r>
      <w:r w:rsidRPr="00EC6EF8">
        <w:t xml:space="preserve"> a framework to prevent and remedy environmental damage in relation to a wide variety of environmentally d</w:t>
      </w:r>
      <w:r w:rsidR="000F7D8D">
        <w:t>amaging</w:t>
      </w:r>
      <w:r w:rsidRPr="00EC6EF8">
        <w:t xml:space="preserve"> activities.</w:t>
      </w:r>
      <w:r w:rsidRPr="00EC6EF8">
        <w:rPr>
          <w:vertAlign w:val="superscript"/>
        </w:rPr>
        <w:footnoteReference w:id="155"/>
      </w:r>
      <w:r w:rsidRPr="00EC6EF8">
        <w:t xml:space="preserve"> </w:t>
      </w:r>
      <w:r w:rsidR="00E64476" w:rsidRPr="00E64476">
        <w:t xml:space="preserve">If </w:t>
      </w:r>
      <w:r w:rsidR="003163C2">
        <w:t>a</w:t>
      </w:r>
      <w:r w:rsidR="000F7D8D">
        <w:t xml:space="preserve"> liable</w:t>
      </w:r>
      <w:r w:rsidR="00E64476" w:rsidRPr="00E64476">
        <w:t xml:space="preserve"> operator fails to comply with its preventive or remedial obligations, the competent authority may take these measures itself.</w:t>
      </w:r>
      <w:r w:rsidR="00E64476">
        <w:rPr>
          <w:rStyle w:val="FootnoteReference"/>
        </w:rPr>
        <w:footnoteReference w:id="156"/>
      </w:r>
      <w:r w:rsidR="00E64476">
        <w:t xml:space="preserve"> </w:t>
      </w:r>
      <w:r w:rsidR="00D44929">
        <w:t>If</w:t>
      </w:r>
      <w:r w:rsidR="003163C2">
        <w:t xml:space="preserve"> the authority </w:t>
      </w:r>
      <w:r w:rsidR="00D50ECE">
        <w:t>does so,</w:t>
      </w:r>
      <w:r w:rsidR="00153B4A">
        <w:t xml:space="preserve"> Article 8(2) </w:t>
      </w:r>
      <w:r w:rsidR="00D50ECE">
        <w:t>provides that it should</w:t>
      </w:r>
      <w:r w:rsidRPr="00666255">
        <w:t xml:space="preserve"> recover </w:t>
      </w:r>
      <w:r w:rsidR="003163C2">
        <w:t xml:space="preserve">the associated </w:t>
      </w:r>
      <w:r w:rsidR="003163C2">
        <w:lastRenderedPageBreak/>
        <w:t xml:space="preserve">costs </w:t>
      </w:r>
      <w:r w:rsidR="003163C2" w:rsidRPr="00666255">
        <w:t xml:space="preserve">from the operator </w:t>
      </w:r>
      <w:r w:rsidR="003163C2">
        <w:t>by way of</w:t>
      </w:r>
      <w:r w:rsidRPr="00666255">
        <w:t xml:space="preserve"> security over property or other appropriate guarantee</w:t>
      </w:r>
      <w:r w:rsidRPr="008870CD">
        <w:t>.</w:t>
      </w:r>
      <w:r w:rsidR="003163C2">
        <w:rPr>
          <w:rStyle w:val="FootnoteReference"/>
        </w:rPr>
        <w:footnoteReference w:id="157"/>
      </w:r>
      <w:r w:rsidR="003163C2">
        <w:t xml:space="preserve"> </w:t>
      </w:r>
      <w:r w:rsidRPr="008870CD">
        <w:t xml:space="preserve">This </w:t>
      </w:r>
      <w:r>
        <w:t>requirement is actioned under t</w:t>
      </w:r>
      <w:r w:rsidRPr="008870CD">
        <w:t xml:space="preserve">he </w:t>
      </w:r>
      <w:r w:rsidR="00D50ECE">
        <w:t>EDR and the Welsh Regulations</w:t>
      </w:r>
      <w:r w:rsidR="004B6DCF">
        <w:t>.</w:t>
      </w:r>
      <w:r w:rsidR="009127D2">
        <w:rPr>
          <w:rStyle w:val="FootnoteReference"/>
        </w:rPr>
        <w:footnoteReference w:id="158"/>
      </w:r>
      <w:r w:rsidRPr="008870CD">
        <w:t xml:space="preserve"> </w:t>
      </w:r>
      <w:r w:rsidR="0078425D">
        <w:t xml:space="preserve"> </w:t>
      </w:r>
    </w:p>
    <w:p w:rsidR="006D481A" w:rsidRDefault="006D481A" w:rsidP="00442665">
      <w:pPr>
        <w:pStyle w:val="PhDParagraph"/>
      </w:pPr>
      <w:r>
        <w:t xml:space="preserve">Under the EDR, </w:t>
      </w:r>
      <w:r w:rsidR="004F7E78" w:rsidRPr="004F7E78">
        <w:t>where any costs are recoverable</w:t>
      </w:r>
      <w:r w:rsidR="004F7E78">
        <w:t xml:space="preserve"> </w:t>
      </w:r>
      <w:r w:rsidR="004F7E78" w:rsidRPr="004F7E78">
        <w:t xml:space="preserve">by an enforcing authority from </w:t>
      </w:r>
      <w:r w:rsidR="004B6DCF" w:rsidRPr="004F7E78">
        <w:t xml:space="preserve">a person who is the </w:t>
      </w:r>
      <w:r w:rsidR="004F7E78" w:rsidRPr="004F7E78">
        <w:t xml:space="preserve">‘...owner of </w:t>
      </w:r>
      <w:r w:rsidR="004F7E78" w:rsidRPr="004F7E78">
        <w:rPr>
          <w:i/>
        </w:rPr>
        <w:t>any</w:t>
      </w:r>
      <w:r w:rsidR="004F7E78" w:rsidRPr="004F7E78">
        <w:t xml:space="preserve"> premises...’ then the costs and accrued interest are a charge on ‘the premises’.</w:t>
      </w:r>
      <w:r w:rsidR="00442665" w:rsidRPr="008870CD">
        <w:rPr>
          <w:rStyle w:val="FootnoteReference"/>
        </w:rPr>
        <w:footnoteReference w:id="159"/>
      </w:r>
      <w:r w:rsidR="00442665" w:rsidRPr="008870CD">
        <w:t xml:space="preserve"> </w:t>
      </w:r>
      <w:r>
        <w:t>T</w:t>
      </w:r>
      <w:r w:rsidR="00442665">
        <w:t xml:space="preserve">he </w:t>
      </w:r>
      <w:r w:rsidR="00B161FF">
        <w:t xml:space="preserve">current </w:t>
      </w:r>
      <w:r w:rsidR="00076E05">
        <w:t>EDR</w:t>
      </w:r>
      <w:r w:rsidR="00B03531">
        <w:t>,</w:t>
      </w:r>
      <w:r w:rsidR="00442665">
        <w:t xml:space="preserve"> which came into force on 19 July 2015</w:t>
      </w:r>
      <w:r w:rsidR="00B03531">
        <w:t>,</w:t>
      </w:r>
      <w:r w:rsidR="00442665">
        <w:t xml:space="preserve"> introduced a subtle yet </w:t>
      </w:r>
      <w:r w:rsidR="003163C2">
        <w:t xml:space="preserve">presumably </w:t>
      </w:r>
      <w:r w:rsidR="00442665">
        <w:t xml:space="preserve">intentional change in drafting. The </w:t>
      </w:r>
      <w:r w:rsidR="005101EA">
        <w:t>old</w:t>
      </w:r>
      <w:r w:rsidR="00442665">
        <w:t xml:space="preserve"> </w:t>
      </w:r>
      <w:r w:rsidR="005101EA">
        <w:t>drafting</w:t>
      </w:r>
      <w:r w:rsidR="00442665">
        <w:t xml:space="preserve"> referred to recoverability from</w:t>
      </w:r>
      <w:r w:rsidR="00153C06">
        <w:t xml:space="preserve"> ‘</w:t>
      </w:r>
      <w:r w:rsidR="00442665">
        <w:t>…</w:t>
      </w:r>
      <w:r w:rsidR="00442665" w:rsidRPr="006839EE">
        <w:t xml:space="preserve">a person who is the owner </w:t>
      </w:r>
      <w:r w:rsidR="00442665" w:rsidRPr="00153C06">
        <w:rPr>
          <w:i/>
        </w:rPr>
        <w:t>of premises</w:t>
      </w:r>
      <w:r w:rsidR="00D5575E">
        <w:t>…</w:t>
      </w:r>
      <w:r w:rsidR="00153C06">
        <w:t>’</w:t>
      </w:r>
      <w:r w:rsidR="00442665">
        <w:t xml:space="preserve"> </w:t>
      </w:r>
      <w:r w:rsidR="00442665" w:rsidRPr="00DF754D">
        <w:t>wi</w:t>
      </w:r>
      <w:r w:rsidR="00153C06">
        <w:t>th no mention of the word ‘any’.</w:t>
      </w:r>
      <w:r w:rsidR="00153C06">
        <w:rPr>
          <w:rStyle w:val="FootnoteReference"/>
        </w:rPr>
        <w:footnoteReference w:id="160"/>
      </w:r>
      <w:r w:rsidR="00442665" w:rsidRPr="00DF754D">
        <w:t xml:space="preserve"> The new drafting appears to suggest</w:t>
      </w:r>
      <w:r w:rsidR="00DF754D" w:rsidRPr="00DF754D">
        <w:t>, no doubt controversially</w:t>
      </w:r>
      <w:r w:rsidR="00153C06">
        <w:t xml:space="preserve"> from industry’s perspective</w:t>
      </w:r>
      <w:r w:rsidR="00DF754D" w:rsidRPr="00DF754D">
        <w:t>,</w:t>
      </w:r>
      <w:r w:rsidR="00442665" w:rsidRPr="00DF754D">
        <w:t xml:space="preserve"> that the </w:t>
      </w:r>
      <w:r w:rsidR="00D20B7E" w:rsidRPr="00DF754D">
        <w:t>competent</w:t>
      </w:r>
      <w:r w:rsidR="00442665" w:rsidRPr="00DF754D">
        <w:t xml:space="preserve"> authority could be selective in the premises t</w:t>
      </w:r>
      <w:r w:rsidR="00DF754D" w:rsidRPr="00DF754D">
        <w:t xml:space="preserve">o which the charge would attach. </w:t>
      </w:r>
      <w:r w:rsidR="00DF754D">
        <w:t>Indeed, it seems that</w:t>
      </w:r>
      <w:r w:rsidR="00DF754D" w:rsidRPr="00DF754D">
        <w:t xml:space="preserve"> they could</w:t>
      </w:r>
      <w:r w:rsidR="00442665" w:rsidRPr="00DF754D">
        <w:t xml:space="preserve"> perhaps target a property</w:t>
      </w:r>
      <w:r w:rsidR="00DF754D">
        <w:t xml:space="preserve"> </w:t>
      </w:r>
      <w:r w:rsidR="00EE692D">
        <w:t>(</w:t>
      </w:r>
      <w:r w:rsidR="00DF754D">
        <w:t>or properties</w:t>
      </w:r>
      <w:r w:rsidR="00EE692D">
        <w:t>)</w:t>
      </w:r>
      <w:r w:rsidR="00442665" w:rsidRPr="00DF754D">
        <w:t xml:space="preserve"> </w:t>
      </w:r>
      <w:r w:rsidR="003163C2" w:rsidRPr="00DF754D">
        <w:t xml:space="preserve">owned by the operator </w:t>
      </w:r>
      <w:r w:rsidR="00153C06">
        <w:t>of a value</w:t>
      </w:r>
      <w:r w:rsidR="00442665" w:rsidRPr="00DF754D">
        <w:t xml:space="preserve"> sufficient to ensure that the costs </w:t>
      </w:r>
      <w:r w:rsidR="003163C2" w:rsidRPr="00DF754D">
        <w:t>were actually</w:t>
      </w:r>
      <w:r w:rsidR="00442665" w:rsidRPr="00DF754D">
        <w:t xml:space="preserve"> recovered </w:t>
      </w:r>
      <w:r w:rsidR="00153C06">
        <w:t>should</w:t>
      </w:r>
      <w:r w:rsidR="00442665" w:rsidRPr="00DF754D">
        <w:t xml:space="preserve"> the power of sale </w:t>
      </w:r>
      <w:r w:rsidR="00153C06">
        <w:t>be</w:t>
      </w:r>
      <w:r w:rsidR="00442665" w:rsidRPr="00DF754D">
        <w:t xml:space="preserve"> utilised</w:t>
      </w:r>
      <w:r w:rsidR="00081B3C">
        <w:t xml:space="preserve">. </w:t>
      </w:r>
      <w:r w:rsidR="00CF62BD">
        <w:t>For instance, t</w:t>
      </w:r>
      <w:r w:rsidR="00081B3C" w:rsidRPr="00081B3C">
        <w:t xml:space="preserve">he </w:t>
      </w:r>
      <w:r w:rsidR="00081B3C">
        <w:t>charge could</w:t>
      </w:r>
      <w:r w:rsidR="00CF62BD">
        <w:t xml:space="preserve"> </w:t>
      </w:r>
      <w:r w:rsidR="00081B3C">
        <w:t xml:space="preserve">be taken over the </w:t>
      </w:r>
      <w:r w:rsidR="00081B3C" w:rsidRPr="00081B3C">
        <w:t>valuable city centre office premises rather than the industrial warehouse from which the pollution emanated</w:t>
      </w:r>
      <w:r w:rsidR="00081B3C">
        <w:t>.</w:t>
      </w:r>
      <w:r w:rsidR="00081B3C" w:rsidRPr="00081B3C">
        <w:t xml:space="preserve"> </w:t>
      </w:r>
      <w:r w:rsidR="00344977" w:rsidRPr="00DF754D">
        <w:t xml:space="preserve">Whilst the old drafting was suggestive of the presumption that the charge was to attach </w:t>
      </w:r>
      <w:r w:rsidR="0078425D">
        <w:t xml:space="preserve">to </w:t>
      </w:r>
      <w:r w:rsidR="00344977" w:rsidRPr="00DF754D">
        <w:t>the land or property which had been damaged, the</w:t>
      </w:r>
      <w:r w:rsidR="00442665" w:rsidRPr="00DF754D">
        <w:t xml:space="preserve"> amendment seemingly offers new potential to </w:t>
      </w:r>
      <w:r w:rsidR="00153C06">
        <w:t>strengthen society’s position as</w:t>
      </w:r>
      <w:r w:rsidR="00442665" w:rsidRPr="00DF754D">
        <w:t xml:space="preserve"> residual risk </w:t>
      </w:r>
      <w:r w:rsidR="00153C06">
        <w:t>bearer</w:t>
      </w:r>
      <w:r w:rsidR="00442665" w:rsidRPr="00DF754D">
        <w:t xml:space="preserve">. It does, however, presuppose that the responsible operator actually owns </w:t>
      </w:r>
      <w:r w:rsidR="004D3179">
        <w:t>real</w:t>
      </w:r>
      <w:r w:rsidR="004D3179" w:rsidRPr="00DF754D">
        <w:t xml:space="preserve"> </w:t>
      </w:r>
      <w:r w:rsidR="00442665" w:rsidRPr="00DF754D">
        <w:t>property,</w:t>
      </w:r>
      <w:r w:rsidR="00442665">
        <w:t xml:space="preserve"> and that it does not </w:t>
      </w:r>
      <w:r w:rsidR="00442665" w:rsidRPr="00BE344C">
        <w:t xml:space="preserve">lease </w:t>
      </w:r>
      <w:r w:rsidR="00CA6CB7" w:rsidRPr="00BE344C">
        <w:t>it</w:t>
      </w:r>
      <w:r w:rsidR="00442665" w:rsidRPr="00BE344C">
        <w:t xml:space="preserve"> from another group company. </w:t>
      </w:r>
      <w:r w:rsidR="00D5575E" w:rsidRPr="00BE344C">
        <w:t>The latter</w:t>
      </w:r>
      <w:r w:rsidR="00442665" w:rsidRPr="00BE344C">
        <w:t xml:space="preserve"> </w:t>
      </w:r>
      <w:r w:rsidR="00CF62BD">
        <w:t xml:space="preserve">tactic </w:t>
      </w:r>
      <w:r w:rsidR="00442665" w:rsidRPr="00BE344C">
        <w:t xml:space="preserve">would be a straightforward means of avoiding </w:t>
      </w:r>
      <w:r w:rsidR="00EB2EEC" w:rsidRPr="00BE344C">
        <w:t xml:space="preserve">the prospect of </w:t>
      </w:r>
      <w:r w:rsidR="00442665" w:rsidRPr="00BE344C">
        <w:t xml:space="preserve">a charge </w:t>
      </w:r>
      <w:r w:rsidR="00724C33">
        <w:t xml:space="preserve">being taken </w:t>
      </w:r>
      <w:r w:rsidR="00442665" w:rsidRPr="00BE344C">
        <w:t xml:space="preserve">over </w:t>
      </w:r>
      <w:r w:rsidR="004D3179">
        <w:t>real</w:t>
      </w:r>
      <w:r w:rsidR="004D3179" w:rsidRPr="00BE344C">
        <w:t xml:space="preserve"> </w:t>
      </w:r>
      <w:r w:rsidR="00442665" w:rsidRPr="00BE344C">
        <w:t>property</w:t>
      </w:r>
      <w:r w:rsidR="00CF62BD">
        <w:t xml:space="preserve">. It could be utilised </w:t>
      </w:r>
      <w:r w:rsidR="00EB2EEC" w:rsidRPr="00BE344C">
        <w:t xml:space="preserve">by operators and their parent companies </w:t>
      </w:r>
      <w:r w:rsidR="00CF62BD">
        <w:t>in circumstances where</w:t>
      </w:r>
      <w:r w:rsidR="00EB2EEC" w:rsidRPr="00BE344C">
        <w:t xml:space="preserve"> </w:t>
      </w:r>
      <w:r w:rsidR="00B03531" w:rsidRPr="00BE344C">
        <w:t>a regulator</w:t>
      </w:r>
      <w:r w:rsidR="00EB2EEC" w:rsidRPr="00BE344C">
        <w:t xml:space="preserve"> did not demand that a minimum value of </w:t>
      </w:r>
      <w:r w:rsidR="004D3179">
        <w:t>real</w:t>
      </w:r>
      <w:r w:rsidR="004D3179" w:rsidRPr="00BE344C">
        <w:t xml:space="preserve"> </w:t>
      </w:r>
      <w:r w:rsidR="00EB2EEC" w:rsidRPr="00BE344C">
        <w:t>property</w:t>
      </w:r>
      <w:r w:rsidR="00C23285">
        <w:t xml:space="preserve"> </w:t>
      </w:r>
      <w:r w:rsidR="00153C06">
        <w:t xml:space="preserve">be maintained within the UK as part of the agreement to accept </w:t>
      </w:r>
      <w:r w:rsidR="00E07A11" w:rsidRPr="00E07A11">
        <w:t xml:space="preserve">self-insurance </w:t>
      </w:r>
      <w:r w:rsidR="00153C06">
        <w:t>as evidence of financial security</w:t>
      </w:r>
      <w:r w:rsidR="00442665" w:rsidRPr="00BE344C">
        <w:t xml:space="preserve">. </w:t>
      </w:r>
    </w:p>
    <w:p w:rsidR="00442665" w:rsidRPr="00FA6624" w:rsidRDefault="00D20B7E" w:rsidP="00442665">
      <w:pPr>
        <w:pStyle w:val="PhDParagraph"/>
      </w:pPr>
      <w:r w:rsidRPr="00BE344C">
        <w:lastRenderedPageBreak/>
        <w:t>The Welsh Regulation is</w:t>
      </w:r>
      <w:r w:rsidR="00442665" w:rsidRPr="00BE344C">
        <w:t xml:space="preserve"> virtually identical</w:t>
      </w:r>
      <w:r w:rsidR="00442665">
        <w:t xml:space="preserve"> to its English counterpart with the exception that it does not include the term </w:t>
      </w:r>
      <w:r w:rsidR="00153C06">
        <w:t>‘</w:t>
      </w:r>
      <w:r w:rsidR="00442665">
        <w:t>any</w:t>
      </w:r>
      <w:r w:rsidR="00153C06">
        <w:t>’</w:t>
      </w:r>
      <w:r w:rsidR="00442665">
        <w:t xml:space="preserve"> in respect of the premises to which the charge is to attach.</w:t>
      </w:r>
      <w:r w:rsidR="003163C2">
        <w:rPr>
          <w:rStyle w:val="FootnoteReference"/>
        </w:rPr>
        <w:footnoteReference w:id="161"/>
      </w:r>
      <w:r w:rsidR="00442665">
        <w:t xml:space="preserve"> It states that where</w:t>
      </w:r>
      <w:r w:rsidR="00442665" w:rsidRPr="008870CD">
        <w:t xml:space="preserve"> costs are recoverable from a person who is the </w:t>
      </w:r>
      <w:r w:rsidR="00C71538">
        <w:t>‘</w:t>
      </w:r>
      <w:r w:rsidR="00442665" w:rsidRPr="008870CD">
        <w:t xml:space="preserve">owner of </w:t>
      </w:r>
      <w:r w:rsidR="00442665" w:rsidRPr="00F339E8">
        <w:t>premises</w:t>
      </w:r>
      <w:r w:rsidR="00C71538">
        <w:t>’</w:t>
      </w:r>
      <w:r w:rsidR="00442665" w:rsidRPr="008870CD">
        <w:t xml:space="preserve"> then </w:t>
      </w:r>
      <w:r w:rsidR="00442665">
        <w:t xml:space="preserve">the costs and accrued interest </w:t>
      </w:r>
      <w:r w:rsidR="00442665" w:rsidRPr="008870CD">
        <w:t xml:space="preserve">are a charge on </w:t>
      </w:r>
      <w:r w:rsidR="00C71538">
        <w:t>‘</w:t>
      </w:r>
      <w:r w:rsidR="00442665" w:rsidRPr="00F339E8">
        <w:t>the</w:t>
      </w:r>
      <w:r w:rsidR="00442665" w:rsidRPr="008870CD">
        <w:t xml:space="preserve"> premises</w:t>
      </w:r>
      <w:r w:rsidR="00C71538">
        <w:t>’</w:t>
      </w:r>
      <w:r w:rsidR="00442665">
        <w:t>.</w:t>
      </w:r>
      <w:r w:rsidR="00442665" w:rsidRPr="008870CD">
        <w:rPr>
          <w:rStyle w:val="FootnoteReference"/>
        </w:rPr>
        <w:footnoteReference w:id="162"/>
      </w:r>
      <w:r w:rsidR="00442665" w:rsidRPr="008870CD">
        <w:t xml:space="preserve"> </w:t>
      </w:r>
      <w:r w:rsidR="00442665">
        <w:t>This suggests that either the charge attaches to all of the operator’s premises, or that it attaches to the premises which may have been the source of the environmental damage. The latter may be seen as the most pragmatic interpretation</w:t>
      </w:r>
      <w:r w:rsidR="00EE692D">
        <w:t>, and sits with the presumption under the old drafting of the EDR</w:t>
      </w:r>
      <w:r w:rsidR="00D5000F">
        <w:t>,</w:t>
      </w:r>
      <w:r w:rsidR="00EE692D">
        <w:t xml:space="preserve"> discussed </w:t>
      </w:r>
      <w:r w:rsidR="00F72B9B">
        <w:t>above</w:t>
      </w:r>
      <w:r w:rsidR="00D5000F">
        <w:t>, which was worded similarly</w:t>
      </w:r>
      <w:r w:rsidR="00442665">
        <w:t xml:space="preserve">. </w:t>
      </w:r>
    </w:p>
    <w:p w:rsidR="00442665" w:rsidRPr="005A3A4B" w:rsidRDefault="00442665" w:rsidP="003468E5">
      <w:pPr>
        <w:pStyle w:val="PhDParagraphnoIdent"/>
        <w:keepNext/>
        <w:ind w:firstLine="720"/>
      </w:pPr>
      <w:r>
        <w:t xml:space="preserve">On </w:t>
      </w:r>
      <w:r w:rsidR="00D50ECE">
        <w:t>its</w:t>
      </w:r>
      <w:r>
        <w:t xml:space="preserve"> face, </w:t>
      </w:r>
      <w:r w:rsidR="00C93EFD">
        <w:t xml:space="preserve">the </w:t>
      </w:r>
      <w:r w:rsidR="00CF62BD">
        <w:t>capacity to take a charge over premises</w:t>
      </w:r>
      <w:r>
        <w:t xml:space="preserve"> appear</w:t>
      </w:r>
      <w:r w:rsidR="00C93EFD">
        <w:t>s</w:t>
      </w:r>
      <w:r>
        <w:t xml:space="preserve"> to reduce the residual risk to which society is exposed. </w:t>
      </w:r>
      <w:r w:rsidR="00C93EFD">
        <w:t>In this respect, it is a very important</w:t>
      </w:r>
      <w:r w:rsidR="00F533A1">
        <w:t xml:space="preserve"> risk-reduction</w:t>
      </w:r>
      <w:r w:rsidR="00C93EFD">
        <w:t xml:space="preserve"> tool. </w:t>
      </w:r>
      <w:r>
        <w:t xml:space="preserve">However, </w:t>
      </w:r>
      <w:r w:rsidR="00554F7A">
        <w:t xml:space="preserve">and </w:t>
      </w:r>
      <w:r w:rsidR="00C93EFD">
        <w:t>significantly, the ELD</w:t>
      </w:r>
      <w:r w:rsidR="00554F7A">
        <w:t>, the EDR and the Welsh Regulations</w:t>
      </w:r>
      <w:r w:rsidR="00C93EFD">
        <w:t xml:space="preserve"> are</w:t>
      </w:r>
      <w:r>
        <w:t xml:space="preserve"> silent as to whether the rights of prior </w:t>
      </w:r>
      <w:r w:rsidR="00D5575E">
        <w:t>secured</w:t>
      </w:r>
      <w:r>
        <w:t xml:space="preserve"> creditors may be trumped by a subsequent charge or guarantee taken by the enforcing authority. </w:t>
      </w:r>
      <w:r w:rsidR="00D031EC">
        <w:t>T</w:t>
      </w:r>
      <w:r w:rsidR="000C1573">
        <w:t>he jurisprudence of</w:t>
      </w:r>
      <w:r>
        <w:t xml:space="preserve"> other regulatory frameworks</w:t>
      </w:r>
      <w:r w:rsidR="005D0E18">
        <w:t xml:space="preserve"> in England and Wales</w:t>
      </w:r>
      <w:r>
        <w:t xml:space="preserve"> which confer the right for </w:t>
      </w:r>
      <w:r w:rsidR="008D38DA">
        <w:t>regulators</w:t>
      </w:r>
      <w:r>
        <w:t xml:space="preserve"> to attach charges to a debtor’s </w:t>
      </w:r>
      <w:r w:rsidR="00F533A1">
        <w:t>premises</w:t>
      </w:r>
      <w:r>
        <w:t xml:space="preserve"> in respect of unpaid debts</w:t>
      </w:r>
      <w:r w:rsidR="000C1573">
        <w:t xml:space="preserve"> </w:t>
      </w:r>
      <w:r w:rsidR="00D031EC">
        <w:t>is, however, helpful here</w:t>
      </w:r>
      <w:r>
        <w:t xml:space="preserve">. </w:t>
      </w:r>
      <w:r w:rsidR="00D031EC">
        <w:t>This</w:t>
      </w:r>
      <w:r>
        <w:t xml:space="preserve"> suggests </w:t>
      </w:r>
      <w:r w:rsidR="00D031EC">
        <w:t xml:space="preserve">strongly </w:t>
      </w:r>
      <w:r>
        <w:t xml:space="preserve">that the </w:t>
      </w:r>
      <w:r w:rsidR="00DE1609">
        <w:t>regulator</w:t>
      </w:r>
      <w:r>
        <w:t xml:space="preserve"> would be conferred priority, even where a lender </w:t>
      </w:r>
      <w:r w:rsidR="00F533A1">
        <w:t>held</w:t>
      </w:r>
      <w:r>
        <w:t xml:space="preserve"> an earlier charge. </w:t>
      </w:r>
      <w:r w:rsidRPr="005A3A4B">
        <w:t xml:space="preserve">In </w:t>
      </w:r>
      <w:r w:rsidRPr="005A3A4B">
        <w:rPr>
          <w:i/>
        </w:rPr>
        <w:t>Paddington Borough Council v Finucane</w:t>
      </w:r>
      <w:r w:rsidRPr="005A3A4B">
        <w:t>,</w:t>
      </w:r>
      <w:r w:rsidRPr="005A3A4B">
        <w:rPr>
          <w:vertAlign w:val="superscript"/>
        </w:rPr>
        <w:footnoteReference w:id="163"/>
      </w:r>
      <w:r w:rsidRPr="005A3A4B">
        <w:t xml:space="preserve"> the court had to determine the </w:t>
      </w:r>
      <w:r>
        <w:t>scope</w:t>
      </w:r>
      <w:r w:rsidRPr="005A3A4B">
        <w:t xml:space="preserve"> of a charge created by s</w:t>
      </w:r>
      <w:r w:rsidR="00F533A1">
        <w:t>ection</w:t>
      </w:r>
      <w:r w:rsidRPr="005A3A4B">
        <w:t xml:space="preserve"> 3 of the Housing Act 1925. </w:t>
      </w:r>
      <w:r w:rsidR="00F533A1">
        <w:t>This</w:t>
      </w:r>
      <w:r w:rsidRPr="005A3A4B">
        <w:t xml:space="preserve"> entitled the local authority to serve a notice on the owner of a dwelling-house who failed to make or keep the house reasonably fit for human habitation</w:t>
      </w:r>
      <w:r w:rsidR="00F533A1">
        <w:t>,</w:t>
      </w:r>
      <w:r w:rsidRPr="005A3A4B">
        <w:t xml:space="preserve"> to make it so. The local authority could undertake the work itself </w:t>
      </w:r>
      <w:r>
        <w:t>if the owner failed to comply</w:t>
      </w:r>
      <w:r w:rsidRPr="005A3A4B">
        <w:t xml:space="preserve"> </w:t>
      </w:r>
      <w:r>
        <w:t>with the notice</w:t>
      </w:r>
      <w:r w:rsidRPr="005A3A4B">
        <w:t>. Under s</w:t>
      </w:r>
      <w:r w:rsidR="00F533A1">
        <w:t>ection</w:t>
      </w:r>
      <w:r w:rsidRPr="005A3A4B">
        <w:t xml:space="preserve"> 3(3), </w:t>
      </w:r>
      <w:r>
        <w:t>the</w:t>
      </w:r>
      <w:r w:rsidRPr="005A3A4B">
        <w:t xml:space="preserve"> expenses incurred by a local authority for work done to premises, together with interest, were a charge on the premises. </w:t>
      </w:r>
      <w:r>
        <w:t>Even though</w:t>
      </w:r>
      <w:r w:rsidRPr="005A3A4B">
        <w:t xml:space="preserve"> the property was mortgaged to a third-party, Russell J had </w:t>
      </w:r>
      <w:r w:rsidR="00F533A1">
        <w:t>‘</w:t>
      </w:r>
      <w:r w:rsidRPr="005A3A4B">
        <w:t>no doubt</w:t>
      </w:r>
      <w:r w:rsidR="00F533A1">
        <w:t>’</w:t>
      </w:r>
      <w:r w:rsidRPr="005A3A4B">
        <w:t xml:space="preserve"> that the charge which the </w:t>
      </w:r>
      <w:r w:rsidR="000C1573">
        <w:t>Act</w:t>
      </w:r>
      <w:r w:rsidRPr="005A3A4B">
        <w:t xml:space="preserve"> purported to give overrode all other proprietary interests </w:t>
      </w:r>
      <w:r w:rsidRPr="005A3A4B">
        <w:lastRenderedPageBreak/>
        <w:t>which existed in the house,</w:t>
      </w:r>
      <w:r w:rsidRPr="005A3A4B">
        <w:rPr>
          <w:vertAlign w:val="superscript"/>
        </w:rPr>
        <w:footnoteReference w:id="164"/>
      </w:r>
      <w:r w:rsidRPr="005A3A4B">
        <w:t xml:space="preserve"> and was entitled to priority over </w:t>
      </w:r>
      <w:r w:rsidR="00F533A1">
        <w:t>‘...</w:t>
      </w:r>
      <w:r w:rsidRPr="005A3A4B">
        <w:t>any other interest</w:t>
      </w:r>
      <w:r w:rsidR="00F533A1">
        <w:t>...’</w:t>
      </w:r>
      <w:r w:rsidRPr="005A3A4B">
        <w:t xml:space="preserve"> in it.</w:t>
      </w:r>
      <w:r w:rsidRPr="005A3A4B">
        <w:rPr>
          <w:vertAlign w:val="superscript"/>
        </w:rPr>
        <w:footnoteReference w:id="165"/>
      </w:r>
      <w:r w:rsidRPr="005A3A4B">
        <w:t xml:space="preserve"> Indeed, this reasoning was affirmed in </w:t>
      </w:r>
      <w:r w:rsidRPr="005A3A4B">
        <w:rPr>
          <w:i/>
        </w:rPr>
        <w:t>Bristol Corporation v Virgin</w:t>
      </w:r>
      <w:r w:rsidRPr="005A3A4B">
        <w:t>,</w:t>
      </w:r>
      <w:r w:rsidRPr="005A3A4B">
        <w:rPr>
          <w:vertAlign w:val="superscript"/>
        </w:rPr>
        <w:footnoteReference w:id="166"/>
      </w:r>
      <w:r w:rsidRPr="005A3A4B">
        <w:t xml:space="preserve"> where </w:t>
      </w:r>
      <w:r>
        <w:t>a</w:t>
      </w:r>
      <w:r w:rsidRPr="005A3A4B">
        <w:t xml:space="preserve"> charge created under s</w:t>
      </w:r>
      <w:r w:rsidR="00F533A1">
        <w:t>ection</w:t>
      </w:r>
      <w:r w:rsidRPr="005A3A4B">
        <w:t xml:space="preserve"> 3 </w:t>
      </w:r>
      <w:r>
        <w:t>was found to rank</w:t>
      </w:r>
      <w:r w:rsidRPr="005A3A4B">
        <w:t xml:space="preserve"> in priority to a perpetual yearly rentcharge.</w:t>
      </w:r>
    </w:p>
    <w:p w:rsidR="00421190" w:rsidRDefault="00442665" w:rsidP="003468E5">
      <w:pPr>
        <w:pStyle w:val="PhDParagraphnoIdent"/>
        <w:ind w:firstLine="709"/>
      </w:pPr>
      <w:r w:rsidRPr="005A3A4B">
        <w:t xml:space="preserve">More recent </w:t>
      </w:r>
      <w:r w:rsidRPr="0020252E">
        <w:t xml:space="preserve">authority </w:t>
      </w:r>
      <w:r>
        <w:t xml:space="preserve">which is very much on </w:t>
      </w:r>
      <w:r w:rsidRPr="0020252E">
        <w:t xml:space="preserve">point may be found in </w:t>
      </w:r>
      <w:r w:rsidRPr="0020252E">
        <w:rPr>
          <w:i/>
        </w:rPr>
        <w:t>Westminster City Council v Haymarket Publishing Ltd</w:t>
      </w:r>
      <w:r w:rsidRPr="0020252E">
        <w:t>.</w:t>
      </w:r>
      <w:r w:rsidRPr="0020252E">
        <w:rPr>
          <w:vertAlign w:val="superscript"/>
        </w:rPr>
        <w:footnoteReference w:id="167"/>
      </w:r>
      <w:r w:rsidRPr="0020252E">
        <w:t xml:space="preserve"> </w:t>
      </w:r>
      <w:r w:rsidRPr="00CC7ABB">
        <w:t>There, a company acquired a commercial property</w:t>
      </w:r>
      <w:r w:rsidR="009254FE">
        <w:t xml:space="preserve"> and</w:t>
      </w:r>
      <w:r w:rsidRPr="00CC7ABB">
        <w:t xml:space="preserve"> granted a legal mortgage over it to a bank to secure all moneys and indebtedness present and future owing by the company to the bank.</w:t>
      </w:r>
      <w:r w:rsidRPr="005A3A4B">
        <w:t xml:space="preserve"> Owing to a period in which the property remained empty, a rating surcharge amounting to £16,940.93 became payable under s</w:t>
      </w:r>
      <w:r w:rsidR="00F72B9B">
        <w:t>ection</w:t>
      </w:r>
      <w:r w:rsidRPr="005A3A4B">
        <w:t xml:space="preserve"> 17A(1) of the General Rate Act 1967. Under s</w:t>
      </w:r>
      <w:r w:rsidR="00F72B9B">
        <w:t>ection</w:t>
      </w:r>
      <w:r w:rsidRPr="005A3A4B">
        <w:t xml:space="preserve"> 17B(3), a surcharge was to be a </w:t>
      </w:r>
      <w:r w:rsidR="00F533A1">
        <w:t>‘</w:t>
      </w:r>
      <w:r w:rsidRPr="005A3A4B">
        <w:t>…charge on the land comprised in the hereditament…</w:t>
      </w:r>
      <w:r w:rsidR="00F533A1">
        <w:t>’</w:t>
      </w:r>
      <w:r w:rsidR="00DE1609">
        <w:t xml:space="preserve"> until recovered. The c</w:t>
      </w:r>
      <w:r w:rsidRPr="005A3A4B">
        <w:t xml:space="preserve">ouncil contended that the surcharge took priority over the </w:t>
      </w:r>
      <w:r w:rsidR="009254FE">
        <w:t>mortgage debt</w:t>
      </w:r>
      <w:r w:rsidR="00211237">
        <w:t>. T</w:t>
      </w:r>
      <w:r w:rsidRPr="005A3A4B">
        <w:t xml:space="preserve">he bank </w:t>
      </w:r>
      <w:r w:rsidR="009254FE">
        <w:t>took the opposite position.</w:t>
      </w:r>
      <w:r w:rsidRPr="005A3A4B">
        <w:t xml:space="preserve"> </w:t>
      </w:r>
      <w:r w:rsidR="00DE1609">
        <w:t>Lord Denning MR</w:t>
      </w:r>
      <w:r>
        <w:t xml:space="preserve"> reasoned that</w:t>
      </w:r>
      <w:r w:rsidRPr="005A3A4B">
        <w:t xml:space="preserve"> </w:t>
      </w:r>
      <w:r>
        <w:t>a</w:t>
      </w:r>
      <w:r w:rsidRPr="005A3A4B">
        <w:t xml:space="preserve"> series of authorities,</w:t>
      </w:r>
      <w:r w:rsidRPr="005A3A4B">
        <w:rPr>
          <w:vertAlign w:val="superscript"/>
        </w:rPr>
        <w:footnoteReference w:id="168"/>
      </w:r>
      <w:r w:rsidRPr="005A3A4B">
        <w:t xml:space="preserve"> </w:t>
      </w:r>
      <w:r>
        <w:t xml:space="preserve">commencing exactly one century </w:t>
      </w:r>
      <w:r w:rsidR="004C63F6">
        <w:t>earlier</w:t>
      </w:r>
      <w:r w:rsidRPr="005A3A4B">
        <w:rPr>
          <w:i/>
        </w:rPr>
        <w:t>,</w:t>
      </w:r>
      <w:r w:rsidRPr="005A3A4B">
        <w:t xml:space="preserve"> </w:t>
      </w:r>
      <w:r>
        <w:t>had found</w:t>
      </w:r>
      <w:r w:rsidRPr="005A3A4B">
        <w:t xml:space="preserve"> </w:t>
      </w:r>
      <w:r>
        <w:t xml:space="preserve">consistently </w:t>
      </w:r>
      <w:r w:rsidRPr="005A3A4B">
        <w:t xml:space="preserve">that a charge over </w:t>
      </w:r>
      <w:r w:rsidR="00D5575E">
        <w:t>‘</w:t>
      </w:r>
      <w:r w:rsidRPr="005A3A4B">
        <w:t>premises</w:t>
      </w:r>
      <w:r w:rsidR="00D5575E">
        <w:t>’</w:t>
      </w:r>
      <w:r w:rsidRPr="005A3A4B">
        <w:t xml:space="preserve"> meant </w:t>
      </w:r>
      <w:r>
        <w:t>that it was</w:t>
      </w:r>
      <w:r w:rsidRPr="005A3A4B">
        <w:t xml:space="preserve"> </w:t>
      </w:r>
      <w:r w:rsidR="009254FE">
        <w:t xml:space="preserve">a </w:t>
      </w:r>
      <w:r w:rsidRPr="005A3A4B">
        <w:t xml:space="preserve">charge on all the estates and interests in the land. </w:t>
      </w:r>
      <w:r>
        <w:t xml:space="preserve">Thus, he </w:t>
      </w:r>
      <w:r w:rsidR="009254FE">
        <w:t>concluded</w:t>
      </w:r>
      <w:r>
        <w:t xml:space="preserve"> </w:t>
      </w:r>
      <w:r w:rsidRPr="005A3A4B">
        <w:t xml:space="preserve">that the surcharge took priority over the mortgage debt </w:t>
      </w:r>
      <w:r>
        <w:t>owed to the bank</w:t>
      </w:r>
      <w:r w:rsidRPr="005A3A4B">
        <w:t>.</w:t>
      </w:r>
      <w:r w:rsidRPr="005A3A4B">
        <w:rPr>
          <w:vertAlign w:val="superscript"/>
        </w:rPr>
        <w:footnoteReference w:id="169"/>
      </w:r>
      <w:r w:rsidRPr="005A3A4B">
        <w:t xml:space="preserve"> </w:t>
      </w:r>
    </w:p>
    <w:p w:rsidR="00442665" w:rsidRDefault="00421190" w:rsidP="003468E5">
      <w:pPr>
        <w:pStyle w:val="PhDParagraphnoIdent"/>
        <w:ind w:firstLine="709"/>
      </w:pPr>
      <w:r>
        <w:t>T</w:t>
      </w:r>
      <w:r w:rsidR="00442665">
        <w:t>here were clearly some e</w:t>
      </w:r>
      <w:r w:rsidR="009254FE">
        <w:t xml:space="preserve">quitable undertones to </w:t>
      </w:r>
      <w:r w:rsidR="00231978">
        <w:t>the judg</w:t>
      </w:r>
      <w:r w:rsidR="00353B2C">
        <w:t xml:space="preserve">ment of </w:t>
      </w:r>
      <w:r>
        <w:t xml:space="preserve">Lord </w:t>
      </w:r>
      <w:r w:rsidR="00353B2C">
        <w:t>Denning MR</w:t>
      </w:r>
      <w:r w:rsidR="00442665">
        <w:t xml:space="preserve">. He believed that his interpretation was in line with the </w:t>
      </w:r>
      <w:r w:rsidR="00211237">
        <w:t>‘...</w:t>
      </w:r>
      <w:r w:rsidR="00442665">
        <w:t xml:space="preserve">intention of </w:t>
      </w:r>
      <w:r w:rsidR="00A01886">
        <w:t>P</w:t>
      </w:r>
      <w:r w:rsidR="00442665">
        <w:t>arliament</w:t>
      </w:r>
      <w:r w:rsidR="00211237">
        <w:t>...’</w:t>
      </w:r>
      <w:r w:rsidR="00442665">
        <w:t xml:space="preserve"> as the adoption of any other position would mean that,</w:t>
      </w:r>
      <w:r w:rsidR="00260260" w:rsidRPr="005A3A4B">
        <w:rPr>
          <w:vertAlign w:val="superscript"/>
        </w:rPr>
        <w:footnoteReference w:id="170"/>
      </w:r>
    </w:p>
    <w:p w:rsidR="00442665" w:rsidRDefault="00442665" w:rsidP="009152BC">
      <w:pPr>
        <w:pStyle w:val="PhDQuote"/>
      </w:pPr>
      <w:r w:rsidRPr="005A3A4B">
        <w:lastRenderedPageBreak/>
        <w:t>it would be open to companies, by manipulation of their affairs between holding and subsidiary companies, to avoid the charge altogether. The land could be bought in the name of a subsidiary company with money obtained on mortgage from a holding company: and, lo and behold, the charge would be gone. That cannot be right.</w:t>
      </w:r>
    </w:p>
    <w:p w:rsidR="003468E5" w:rsidRDefault="00353B2C" w:rsidP="003468E5">
      <w:pPr>
        <w:pStyle w:val="PhDParagraphnoIdent"/>
      </w:pPr>
      <w:r w:rsidRPr="00353B2C">
        <w:t xml:space="preserve">Lord Denning MR was clearly attuned to the strategic behaviour utilised by corporate groups to avoid liability and sought to prevent the creation of legal conditions under which this form of avoidance would be possible. </w:t>
      </w:r>
      <w:r w:rsidR="00442665" w:rsidRPr="00353B2C">
        <w:t>It</w:t>
      </w:r>
      <w:r w:rsidR="00442665">
        <w:t xml:space="preserve"> may, however, be considered </w:t>
      </w:r>
      <w:r w:rsidR="00153B4A">
        <w:t xml:space="preserve">both </w:t>
      </w:r>
      <w:r w:rsidR="00442665">
        <w:t>excessive and unfair to apply this logic to situations where a bona fide lender facilitated the purchase of a comme</w:t>
      </w:r>
      <w:r w:rsidR="009254FE">
        <w:t>rcial property through funds le</w:t>
      </w:r>
      <w:r w:rsidR="00442665">
        <w:t xml:space="preserve">nt in return for a mortgage over </w:t>
      </w:r>
      <w:r w:rsidR="00211237">
        <w:t>it</w:t>
      </w:r>
      <w:r w:rsidR="00442665">
        <w:t xml:space="preserve">. The </w:t>
      </w:r>
      <w:r w:rsidR="00211237">
        <w:t xml:space="preserve">presumed </w:t>
      </w:r>
      <w:r w:rsidR="0078425D">
        <w:t>priority</w:t>
      </w:r>
      <w:r w:rsidR="00442665">
        <w:t xml:space="preserve"> and efficacy of the mortgage </w:t>
      </w:r>
      <w:r w:rsidR="00C62ADC">
        <w:t>will have been</w:t>
      </w:r>
      <w:r w:rsidR="00442665">
        <w:t xml:space="preserve"> a fundamental factor in the lender</w:t>
      </w:r>
      <w:r w:rsidR="009254FE">
        <w:t>’</w:t>
      </w:r>
      <w:r w:rsidR="00442665">
        <w:t>s decision to provide funds</w:t>
      </w:r>
      <w:r w:rsidR="00C62ADC">
        <w:t xml:space="preserve"> in the first place</w:t>
      </w:r>
      <w:r w:rsidR="00442665">
        <w:t xml:space="preserve">. </w:t>
      </w:r>
      <w:r w:rsidR="00442665" w:rsidRPr="005A3A4B">
        <w:t xml:space="preserve">Echoing </w:t>
      </w:r>
      <w:r w:rsidR="00DE1609">
        <w:t>the reasoning of Lord Denning M</w:t>
      </w:r>
      <w:r w:rsidR="00442665" w:rsidRPr="005A3A4B">
        <w:t>R</w:t>
      </w:r>
      <w:r w:rsidR="00DE1609">
        <w:t>, Oliver LJ</w:t>
      </w:r>
      <w:r w:rsidR="00442665" w:rsidRPr="005A3A4B">
        <w:t xml:space="preserve"> noted the perceived unfairness on the bank, but held that Parliament</w:t>
      </w:r>
      <w:r w:rsidR="00260260">
        <w:t xml:space="preserve"> </w:t>
      </w:r>
      <w:r w:rsidR="00211237">
        <w:t>‘</w:t>
      </w:r>
      <w:r w:rsidR="00260260">
        <w:t>...</w:t>
      </w:r>
      <w:r w:rsidR="00260260" w:rsidRPr="00260260">
        <w:t>must have been aware of how similar words in previous statutes had been construed</w:t>
      </w:r>
      <w:r w:rsidR="00260260">
        <w:t>...</w:t>
      </w:r>
      <w:r w:rsidR="00211237">
        <w:t>’</w:t>
      </w:r>
      <w:r w:rsidR="00442665" w:rsidRPr="005A3A4B">
        <w:t xml:space="preserve"> and if it had been intended to narrow the scope of the charge </w:t>
      </w:r>
      <w:r w:rsidR="00442665">
        <w:t xml:space="preserve">so as to give priority to a prior secured creditor </w:t>
      </w:r>
      <w:r w:rsidR="00442665" w:rsidRPr="005A3A4B">
        <w:t>then it would have done so.</w:t>
      </w:r>
      <w:r w:rsidR="00442665" w:rsidRPr="005A3A4B">
        <w:rPr>
          <w:vertAlign w:val="superscript"/>
        </w:rPr>
        <w:footnoteReference w:id="171"/>
      </w:r>
      <w:r w:rsidR="00442665">
        <w:t xml:space="preserve"> These comments must be equally applicable today in respect of the </w:t>
      </w:r>
      <w:r w:rsidR="009254FE">
        <w:t>EDR and the Welsh Regulations</w:t>
      </w:r>
      <w:r w:rsidR="00442665">
        <w:t xml:space="preserve">. It would be highly unusual if these regulations were to reverse </w:t>
      </w:r>
      <w:r w:rsidR="000C1573">
        <w:t>130</w:t>
      </w:r>
      <w:r w:rsidR="00442665">
        <w:t xml:space="preserve"> years of jurisprudence without stating so explicitly.</w:t>
      </w:r>
    </w:p>
    <w:p w:rsidR="000D565E" w:rsidRPr="007D4291" w:rsidRDefault="003468E5" w:rsidP="00F802D5">
      <w:pPr>
        <w:pStyle w:val="PhDParagraphnoIdent"/>
        <w:ind w:firstLine="709"/>
      </w:pPr>
      <w:r>
        <w:t xml:space="preserve">There are certainly policy arguments for and against the priority of the statutory charge. In respect of the latter, </w:t>
      </w:r>
      <w:r w:rsidR="00C62ADC">
        <w:t>if</w:t>
      </w:r>
      <w:r>
        <w:t xml:space="preserve"> the EDR and the Welsh Regulations do, in fact, permit the priority of secured creditors to be undermined, it will create </w:t>
      </w:r>
      <w:r w:rsidRPr="00B555DE">
        <w:t>uncertainty in credit markets</w:t>
      </w:r>
      <w:r w:rsidRPr="007D4291">
        <w:t xml:space="preserve">. </w:t>
      </w:r>
      <w:r w:rsidR="00800EE2" w:rsidRPr="007D4291">
        <w:t xml:space="preserve">For example, consider a commercial premises owned by an operator which </w:t>
      </w:r>
      <w:r w:rsidR="0078425D">
        <w:t>had</w:t>
      </w:r>
      <w:r w:rsidR="00800EE2" w:rsidRPr="007D4291">
        <w:t xml:space="preserve"> recently been valued at £1,000,000. Assume that the purchase was financed with a deposit of £300,000 and a commercial mortgage of £700,000. This means that there </w:t>
      </w:r>
      <w:r w:rsidR="0078425D">
        <w:t xml:space="preserve">would be </w:t>
      </w:r>
      <w:r w:rsidR="00800EE2" w:rsidRPr="007D4291">
        <w:t xml:space="preserve">£300,000 of </w:t>
      </w:r>
      <w:r w:rsidR="00A92A9E" w:rsidRPr="007D4291">
        <w:t xml:space="preserve">the borrower’s </w:t>
      </w:r>
      <w:r w:rsidR="00800EE2" w:rsidRPr="007D4291">
        <w:t>equity and £700,000 of debt</w:t>
      </w:r>
      <w:r w:rsidR="00F802D5" w:rsidRPr="007D4291">
        <w:t xml:space="preserve"> in the premises</w:t>
      </w:r>
      <w:r w:rsidR="00800EE2" w:rsidRPr="007D4291">
        <w:t>. Where the regulator’s</w:t>
      </w:r>
      <w:r w:rsidR="00F802D5" w:rsidRPr="007D4291">
        <w:t xml:space="preserve"> prior ranking</w:t>
      </w:r>
      <w:r w:rsidR="00800EE2" w:rsidRPr="007D4291">
        <w:t xml:space="preserve"> charge amounted to a figure of £300,000 or below then this would be of little commercial significance to the lender</w:t>
      </w:r>
      <w:r w:rsidR="0078425D">
        <w:t>, t</w:t>
      </w:r>
      <w:r w:rsidR="00800EE2" w:rsidRPr="007D4291">
        <w:t>he exception being where property value</w:t>
      </w:r>
      <w:r w:rsidR="00F802D5" w:rsidRPr="007D4291">
        <w:t>s were predicted to</w:t>
      </w:r>
      <w:r w:rsidR="00800EE2" w:rsidRPr="007D4291">
        <w:t xml:space="preserve"> fall. </w:t>
      </w:r>
      <w:r w:rsidR="00F802D5" w:rsidRPr="007D4291">
        <w:lastRenderedPageBreak/>
        <w:t>However, where the regulator’s prior ranking charge amounted to a figure of £300,000 or more then this would be of significant c</w:t>
      </w:r>
      <w:r w:rsidR="0078425D">
        <w:t>ommercial concern to the lender as</w:t>
      </w:r>
      <w:r w:rsidR="00F802D5" w:rsidRPr="007D4291">
        <w:t xml:space="preserve"> </w:t>
      </w:r>
      <w:r w:rsidR="0078425D">
        <w:t>t</w:t>
      </w:r>
      <w:r w:rsidR="00375A8C" w:rsidRPr="007D4291">
        <w:t>he</w:t>
      </w:r>
      <w:r w:rsidR="00F802D5" w:rsidRPr="007D4291">
        <w:t xml:space="preserve"> loan would no longer b</w:t>
      </w:r>
      <w:r w:rsidR="00A92A9E" w:rsidRPr="007D4291">
        <w:t xml:space="preserve">e secured </w:t>
      </w:r>
      <w:r w:rsidR="0078425D">
        <w:t>fully and effectively</w:t>
      </w:r>
      <w:r w:rsidR="00F802D5" w:rsidRPr="007D4291">
        <w:t>. If</w:t>
      </w:r>
      <w:r w:rsidR="0078425D">
        <w:t>, to vary the example,</w:t>
      </w:r>
      <w:r w:rsidR="00F802D5" w:rsidRPr="007D4291">
        <w:t xml:space="preserve"> the regulator’s prior ranking charge amounted to</w:t>
      </w:r>
      <w:r w:rsidR="0078425D">
        <w:t xml:space="preserve"> </w:t>
      </w:r>
      <w:r w:rsidR="00F802D5" w:rsidRPr="007D4291">
        <w:t xml:space="preserve">£500,000 then the lender will, in effect, have lost £200,000. </w:t>
      </w:r>
      <w:r w:rsidR="004C63F6">
        <w:t xml:space="preserve">This assumes that the property’s value </w:t>
      </w:r>
      <w:r w:rsidR="0078425D">
        <w:t xml:space="preserve">had </w:t>
      </w:r>
      <w:r w:rsidR="004C63F6">
        <w:t xml:space="preserve">remained static. </w:t>
      </w:r>
      <w:r w:rsidR="00E32B48" w:rsidRPr="007D4291">
        <w:t>Furthermore, should</w:t>
      </w:r>
      <w:r w:rsidR="00D04396" w:rsidRPr="007D4291">
        <w:t xml:space="preserve"> the environmental liabilities </w:t>
      </w:r>
      <w:r w:rsidR="00E32B48" w:rsidRPr="007D4291">
        <w:t>total</w:t>
      </w:r>
      <w:r w:rsidR="00D04396" w:rsidRPr="007D4291">
        <w:t xml:space="preserve"> </w:t>
      </w:r>
      <w:r w:rsidR="00152157" w:rsidRPr="007D4291">
        <w:t>£1,000,000</w:t>
      </w:r>
      <w:r w:rsidR="0078425D">
        <w:t>,</w:t>
      </w:r>
      <w:r w:rsidR="00152157" w:rsidRPr="007D4291">
        <w:t xml:space="preserve"> </w:t>
      </w:r>
      <w:r w:rsidR="0078425D">
        <w:t>with</w:t>
      </w:r>
      <w:r w:rsidR="00152157" w:rsidRPr="007D4291">
        <w:t xml:space="preserve"> a charge to this value</w:t>
      </w:r>
      <w:r w:rsidR="00D04396" w:rsidRPr="007D4291">
        <w:t xml:space="preserve"> levied against the premises, the lender could lose out entirely</w:t>
      </w:r>
      <w:r w:rsidR="0078425D">
        <w:t xml:space="preserve">; the lender is, in effect, made </w:t>
      </w:r>
      <w:r w:rsidR="00152157" w:rsidRPr="007D4291">
        <w:t>indirectly liable for the negative environmental outcomes of the borrower-operator</w:t>
      </w:r>
      <w:r w:rsidR="0078425D">
        <w:t>’s activities</w:t>
      </w:r>
      <w:r w:rsidR="00152157" w:rsidRPr="007D4291">
        <w:t xml:space="preserve">. </w:t>
      </w:r>
    </w:p>
    <w:p w:rsidR="003468E5" w:rsidRPr="000D565E" w:rsidRDefault="00681279" w:rsidP="000D565E">
      <w:pPr>
        <w:pStyle w:val="PhDParagraphnoIdent"/>
        <w:ind w:firstLine="709"/>
        <w:rPr>
          <w:highlight w:val="yellow"/>
        </w:rPr>
      </w:pPr>
      <w:r w:rsidRPr="007D4291">
        <w:t xml:space="preserve">Thus, a decision prioritising the regulator’s charge is a decision that lenders, </w:t>
      </w:r>
      <w:r w:rsidR="00152157" w:rsidRPr="007D4291">
        <w:t>rather</w:t>
      </w:r>
      <w:r w:rsidRPr="007D4291">
        <w:t xml:space="preserve"> </w:t>
      </w:r>
      <w:r w:rsidR="007D4291" w:rsidRPr="007D4291">
        <w:t xml:space="preserve">than </w:t>
      </w:r>
      <w:r w:rsidRPr="007D4291">
        <w:t xml:space="preserve">society, </w:t>
      </w:r>
      <w:r w:rsidR="007D4291" w:rsidRPr="007D4291">
        <w:t>are</w:t>
      </w:r>
      <w:r w:rsidRPr="007D4291">
        <w:t xml:space="preserve"> to bear the deficit, or at least part of it, between the operator’s environmental liability and its assets</w:t>
      </w:r>
      <w:r w:rsidR="00F802D5" w:rsidRPr="007D4291">
        <w:t>.</w:t>
      </w:r>
      <w:r w:rsidR="00010576" w:rsidRPr="007D4291">
        <w:rPr>
          <w:rStyle w:val="FootnoteReference"/>
        </w:rPr>
        <w:footnoteReference w:id="172"/>
      </w:r>
      <w:r w:rsidR="00F802D5" w:rsidRPr="007D4291">
        <w:t xml:space="preserve"> </w:t>
      </w:r>
      <w:r w:rsidR="000D565E" w:rsidRPr="007D4291">
        <w:t xml:space="preserve">Whilst this is not entirely unproblematic for the reasons set out below, the implications for credit markets could be significant. </w:t>
      </w:r>
      <w:r w:rsidR="00F802D5" w:rsidRPr="007D4291">
        <w:t>The</w:t>
      </w:r>
      <w:r w:rsidR="003468E5" w:rsidRPr="007D4291">
        <w:t xml:space="preserve"> </w:t>
      </w:r>
      <w:r w:rsidR="00F802D5" w:rsidRPr="007D4291">
        <w:t xml:space="preserve">prospect of the lender bearing a portion of a borrower’s environmental liabilities </w:t>
      </w:r>
      <w:r w:rsidR="007F3975" w:rsidRPr="007D4291">
        <w:t>could</w:t>
      </w:r>
      <w:r w:rsidR="003468E5" w:rsidRPr="007D4291">
        <w:t xml:space="preserve"> result in </w:t>
      </w:r>
      <w:r w:rsidR="0078425D">
        <w:t>the</w:t>
      </w:r>
      <w:r w:rsidR="003468E5" w:rsidRPr="007D4291">
        <w:t xml:space="preserve"> reduced availability of, or more expensive</w:t>
      </w:r>
      <w:r w:rsidR="00E32B48" w:rsidRPr="007D4291">
        <w:t>,</w:t>
      </w:r>
      <w:r w:rsidR="003468E5" w:rsidRPr="007D4291">
        <w:t xml:space="preserve"> credit for operators engaged in environmentally dangerous activities.</w:t>
      </w:r>
      <w:r w:rsidR="005423AD" w:rsidRPr="007D4291">
        <w:rPr>
          <w:rStyle w:val="FootnoteReference"/>
        </w:rPr>
        <w:footnoteReference w:id="173"/>
      </w:r>
      <w:r w:rsidR="009A660A" w:rsidRPr="000D565E">
        <w:t xml:space="preserve"> </w:t>
      </w:r>
      <w:r w:rsidR="00E32B48">
        <w:t>This</w:t>
      </w:r>
      <w:r w:rsidR="005423AD">
        <w:t xml:space="preserve"> may</w:t>
      </w:r>
      <w:r w:rsidR="003468E5">
        <w:t>, in fact,</w:t>
      </w:r>
      <w:r w:rsidR="003468E5" w:rsidRPr="00B555DE">
        <w:t xml:space="preserve"> result in the courts questioning whether it is in the broader public interest to promote environmental protection in such a manner.</w:t>
      </w:r>
      <w:r w:rsidR="003468E5" w:rsidRPr="00B555DE">
        <w:rPr>
          <w:rStyle w:val="FootnoteReference"/>
        </w:rPr>
        <w:footnoteReference w:id="174"/>
      </w:r>
      <w:r w:rsidR="003468E5" w:rsidRPr="00B555DE">
        <w:t xml:space="preserve"> </w:t>
      </w:r>
      <w:r w:rsidR="003468E5">
        <w:t>T</w:t>
      </w:r>
      <w:r w:rsidR="003468E5" w:rsidRPr="00B555DE">
        <w:t xml:space="preserve">he </w:t>
      </w:r>
      <w:r w:rsidR="005423AD">
        <w:t>prospect</w:t>
      </w:r>
      <w:r w:rsidR="003468E5">
        <w:t xml:space="preserve"> that</w:t>
      </w:r>
      <w:r w:rsidR="003468E5" w:rsidRPr="00B555DE">
        <w:t xml:space="preserve"> credit may </w:t>
      </w:r>
      <w:r w:rsidR="00E164EB">
        <w:t>‘</w:t>
      </w:r>
      <w:r w:rsidR="003468E5" w:rsidRPr="00B555DE">
        <w:t>dry up</w:t>
      </w:r>
      <w:r w:rsidR="00E164EB">
        <w:t>’</w:t>
      </w:r>
      <w:r w:rsidR="00260260">
        <w:t xml:space="preserve"> </w:t>
      </w:r>
      <w:r w:rsidR="003468E5" w:rsidRPr="00B555DE">
        <w:t>could</w:t>
      </w:r>
      <w:r w:rsidR="00211237">
        <w:t xml:space="preserve"> also</w:t>
      </w:r>
      <w:r w:rsidR="003468E5" w:rsidRPr="00B555DE">
        <w:t xml:space="preserve"> result in some operators having to leave the market, meaning that </w:t>
      </w:r>
      <w:r w:rsidR="003468E5">
        <w:t>certain</w:t>
      </w:r>
      <w:r w:rsidR="003468E5" w:rsidRPr="00B555DE">
        <w:t xml:space="preserve"> environmentally dangerous activities </w:t>
      </w:r>
      <w:r w:rsidR="00211237">
        <w:t xml:space="preserve">deemed </w:t>
      </w:r>
      <w:r w:rsidR="003468E5" w:rsidRPr="00B555DE">
        <w:t>necessary</w:t>
      </w:r>
      <w:r w:rsidR="003468E5">
        <w:t xml:space="preserve"> </w:t>
      </w:r>
      <w:r w:rsidR="00211237">
        <w:t>for</w:t>
      </w:r>
      <w:r w:rsidR="003468E5" w:rsidRPr="00B555DE">
        <w:t xml:space="preserve"> society, such as </w:t>
      </w:r>
      <w:r w:rsidR="001209BD">
        <w:t>operating a</w:t>
      </w:r>
      <w:r w:rsidR="00134E91">
        <w:t xml:space="preserve"> </w:t>
      </w:r>
      <w:r w:rsidR="003468E5" w:rsidRPr="00B555DE">
        <w:t xml:space="preserve">hazardous waste </w:t>
      </w:r>
      <w:r w:rsidR="001209BD">
        <w:t>facility</w:t>
      </w:r>
      <w:r w:rsidR="003468E5" w:rsidRPr="00B555DE">
        <w:t>, may not be carried out.</w:t>
      </w:r>
      <w:r w:rsidR="003468E5" w:rsidRPr="00B555DE">
        <w:rPr>
          <w:rStyle w:val="FootnoteReference"/>
        </w:rPr>
        <w:footnoteReference w:id="175"/>
      </w:r>
      <w:r w:rsidR="003468E5" w:rsidRPr="00B555DE">
        <w:t xml:space="preserve"> </w:t>
      </w:r>
      <w:r w:rsidR="00903D29">
        <w:t>T</w:t>
      </w:r>
      <w:r w:rsidR="003468E5">
        <w:t xml:space="preserve">hus, </w:t>
      </w:r>
      <w:r w:rsidR="003468E5" w:rsidRPr="00B555DE">
        <w:t xml:space="preserve">conferring priority </w:t>
      </w:r>
      <w:r w:rsidR="00903D29">
        <w:t>to</w:t>
      </w:r>
      <w:r w:rsidR="003468E5" w:rsidRPr="00B555DE">
        <w:t xml:space="preserve"> the security taken by </w:t>
      </w:r>
      <w:r w:rsidR="003468E5">
        <w:t>the regulator</w:t>
      </w:r>
      <w:r w:rsidR="003468E5" w:rsidRPr="00B555DE">
        <w:t xml:space="preserve"> may actually </w:t>
      </w:r>
      <w:r w:rsidR="00013815">
        <w:t xml:space="preserve">negatively </w:t>
      </w:r>
      <w:r w:rsidR="003468E5" w:rsidRPr="00B555DE">
        <w:t>affect the public interest</w:t>
      </w:r>
      <w:r w:rsidR="00013815">
        <w:t xml:space="preserve"> in environmental protection.</w:t>
      </w:r>
      <w:r w:rsidR="00C62ADC">
        <w:t xml:space="preserve"> </w:t>
      </w:r>
    </w:p>
    <w:p w:rsidR="00817090" w:rsidRPr="00451F4C" w:rsidRDefault="00903D29" w:rsidP="00AF240E">
      <w:pPr>
        <w:pStyle w:val="PhDParagraphnoIdent"/>
        <w:ind w:firstLine="709"/>
      </w:pPr>
      <w:r>
        <w:t>It is</w:t>
      </w:r>
      <w:r w:rsidR="00B644D6">
        <w:t>, however,</w:t>
      </w:r>
      <w:r>
        <w:t xml:space="preserve"> submitted that there are strong</w:t>
      </w:r>
      <w:r w:rsidR="00442665">
        <w:t xml:space="preserve"> policy reasons </w:t>
      </w:r>
      <w:r>
        <w:t xml:space="preserve">to </w:t>
      </w:r>
      <w:r w:rsidR="00442665">
        <w:t xml:space="preserve">support the need for such charges to have priority over </w:t>
      </w:r>
      <w:r>
        <w:t xml:space="preserve">prior </w:t>
      </w:r>
      <w:r w:rsidR="00442665">
        <w:t xml:space="preserve">charges taken on the </w:t>
      </w:r>
      <w:r w:rsidR="00C72DEF">
        <w:t>premises</w:t>
      </w:r>
      <w:r w:rsidR="00442665">
        <w:t xml:space="preserve">. </w:t>
      </w:r>
      <w:r w:rsidRPr="00451F4C">
        <w:t>First,</w:t>
      </w:r>
      <w:r w:rsidR="00013815" w:rsidRPr="00451F4C">
        <w:t xml:space="preserve"> </w:t>
      </w:r>
      <w:r w:rsidR="00F478BC" w:rsidRPr="00451F4C">
        <w:t>t</w:t>
      </w:r>
      <w:r w:rsidR="001F49D8" w:rsidRPr="00451F4C">
        <w:t xml:space="preserve">he prospect of </w:t>
      </w:r>
      <w:r w:rsidR="001F49D8" w:rsidRPr="00451F4C">
        <w:lastRenderedPageBreak/>
        <w:t xml:space="preserve">a prioritised statutory charge </w:t>
      </w:r>
      <w:r w:rsidR="006B33F9" w:rsidRPr="00451F4C">
        <w:t xml:space="preserve">in favour of the regulator </w:t>
      </w:r>
      <w:r w:rsidR="001F49D8" w:rsidRPr="00451F4C">
        <w:t xml:space="preserve">would, it is presumed, incentivise </w:t>
      </w:r>
      <w:r w:rsidR="001F49D8" w:rsidRPr="0078425D">
        <w:t>prospective</w:t>
      </w:r>
      <w:r w:rsidR="001F49D8" w:rsidRPr="00451F4C">
        <w:t xml:space="preserve"> lenders to undertake a risk assessment of the operator’s environmental activities.</w:t>
      </w:r>
      <w:r w:rsidR="00A601E1" w:rsidRPr="00451F4C">
        <w:rPr>
          <w:rStyle w:val="FootnoteReference"/>
          <w:rFonts w:cs="Arial"/>
        </w:rPr>
        <w:footnoteReference w:id="176"/>
      </w:r>
      <w:r w:rsidR="001F49D8" w:rsidRPr="00451F4C">
        <w:t xml:space="preserve"> As per the argument deployed in </w:t>
      </w:r>
      <w:r w:rsidR="000D565E" w:rsidRPr="00451F4C">
        <w:t>the previous section</w:t>
      </w:r>
      <w:r w:rsidR="001F49D8" w:rsidRPr="00451F4C">
        <w:t>, not only would this protect lenders by reducing the</w:t>
      </w:r>
      <w:r w:rsidR="000D565E" w:rsidRPr="00451F4C">
        <w:t>ir probability of suffering loss</w:t>
      </w:r>
      <w:r w:rsidR="001F49D8" w:rsidRPr="00451F4C">
        <w:t xml:space="preserve"> but it offers further potential for ‘surrogate’ regulation. </w:t>
      </w:r>
      <w:r w:rsidR="00CB05F1" w:rsidRPr="00451F4C">
        <w:t>In this instance</w:t>
      </w:r>
      <w:r w:rsidR="001F49D8" w:rsidRPr="00451F4C">
        <w:t>, the requisite standard would likely be the level of environmental risk</w:t>
      </w:r>
      <w:r w:rsidR="000F6A94">
        <w:t>s</w:t>
      </w:r>
      <w:r w:rsidR="001F49D8" w:rsidRPr="00451F4C">
        <w:t xml:space="preserve"> perceived to be tolerable by the prospective lender whilst the sanction would be their failure to lend </w:t>
      </w:r>
      <w:r w:rsidR="0078425D">
        <w:t>against</w:t>
      </w:r>
      <w:r w:rsidR="001F49D8" w:rsidRPr="00451F4C">
        <w:t xml:space="preserve"> the </w:t>
      </w:r>
      <w:r w:rsidR="000D565E" w:rsidRPr="00451F4C">
        <w:t>premises</w:t>
      </w:r>
      <w:r w:rsidR="00613997" w:rsidRPr="00451F4C">
        <w:t>. Alternatively, they may agree to lend</w:t>
      </w:r>
      <w:r w:rsidR="00203AAF" w:rsidRPr="00451F4C">
        <w:t xml:space="preserve"> but at a </w:t>
      </w:r>
      <w:r w:rsidR="000F6A94">
        <w:t xml:space="preserve">higher – perhaps </w:t>
      </w:r>
      <w:r w:rsidR="00203AAF" w:rsidRPr="00451F4C">
        <w:t>prohibitive</w:t>
      </w:r>
      <w:r w:rsidR="000F6A94">
        <w:t xml:space="preserve"> –</w:t>
      </w:r>
      <w:r w:rsidR="00203AAF" w:rsidRPr="00451F4C">
        <w:t xml:space="preserve"> rate of interest</w:t>
      </w:r>
      <w:r w:rsidR="001F49D8" w:rsidRPr="00451F4C">
        <w:t xml:space="preserve">. Should the operator be unable to obtain credit as a result of </w:t>
      </w:r>
      <w:r w:rsidR="007D4291" w:rsidRPr="00451F4C">
        <w:t xml:space="preserve">an </w:t>
      </w:r>
      <w:r w:rsidR="001F49D8" w:rsidRPr="00451F4C">
        <w:t xml:space="preserve">unfavourable risk assessment, this would be a major, perhaps terminal, blow, to the </w:t>
      </w:r>
      <w:r w:rsidR="00D35AB9" w:rsidRPr="00451F4C">
        <w:t xml:space="preserve">operator; </w:t>
      </w:r>
      <w:r w:rsidR="007D4291" w:rsidRPr="00451F4C">
        <w:t>it</w:t>
      </w:r>
      <w:r w:rsidR="00D35AB9" w:rsidRPr="00451F4C">
        <w:t xml:space="preserve"> would either be forced to leave the market or be required to source other funding streams. </w:t>
      </w:r>
      <w:r w:rsidR="001F49D8" w:rsidRPr="00451F4C">
        <w:t xml:space="preserve">In itself, </w:t>
      </w:r>
      <w:r w:rsidR="00242F80" w:rsidRPr="00451F4C">
        <w:t>this</w:t>
      </w:r>
      <w:r w:rsidR="001F49D8" w:rsidRPr="00451F4C">
        <w:t xml:space="preserve"> may induce reductions in </w:t>
      </w:r>
      <w:r w:rsidR="00F478BC" w:rsidRPr="00451F4C">
        <w:t>its</w:t>
      </w:r>
      <w:r w:rsidR="00242F80" w:rsidRPr="00451F4C">
        <w:t xml:space="preserve"> </w:t>
      </w:r>
      <w:r w:rsidR="001F49D8" w:rsidRPr="00451F4C">
        <w:t>environmental risk</w:t>
      </w:r>
      <w:r w:rsidR="000F6A94">
        <w:t>s</w:t>
      </w:r>
      <w:r w:rsidR="00D35AB9" w:rsidRPr="00451F4C">
        <w:t xml:space="preserve"> so as to become a more attractive</w:t>
      </w:r>
      <w:r w:rsidR="00242F80" w:rsidRPr="00451F4C">
        <w:t>, lower risk</w:t>
      </w:r>
      <w:r w:rsidR="00D35AB9" w:rsidRPr="00451F4C">
        <w:t xml:space="preserve"> borrower</w:t>
      </w:r>
      <w:r w:rsidR="001F49D8" w:rsidRPr="00451F4C">
        <w:t xml:space="preserve">. </w:t>
      </w:r>
    </w:p>
    <w:p w:rsidR="000D565E" w:rsidRPr="00451F4C" w:rsidRDefault="007B3427" w:rsidP="00AF240E">
      <w:pPr>
        <w:pStyle w:val="PhDParagraphnoIdent"/>
        <w:ind w:firstLine="709"/>
      </w:pPr>
      <w:r>
        <w:t xml:space="preserve">A lender may instead </w:t>
      </w:r>
      <w:r w:rsidR="00817090" w:rsidRPr="00451F4C">
        <w:t>choose</w:t>
      </w:r>
      <w:r w:rsidR="006B33F9" w:rsidRPr="00451F4C">
        <w:t xml:space="preserve"> </w:t>
      </w:r>
      <w:r w:rsidR="00817090" w:rsidRPr="00451F4C">
        <w:t>to</w:t>
      </w:r>
      <w:r w:rsidR="006B33F9" w:rsidRPr="00451F4C">
        <w:t xml:space="preserve"> </w:t>
      </w:r>
      <w:r>
        <w:t>transfer</w:t>
      </w:r>
      <w:r w:rsidR="006B33F9" w:rsidRPr="00451F4C">
        <w:t xml:space="preserve"> </w:t>
      </w:r>
      <w:r w:rsidR="00BF5063" w:rsidRPr="00451F4C">
        <w:t>th</w:t>
      </w:r>
      <w:r>
        <w:t>e risk of a borrower defaulting due to its environmental liabilities</w:t>
      </w:r>
      <w:r w:rsidR="00817090" w:rsidRPr="00451F4C">
        <w:t xml:space="preserve"> to</w:t>
      </w:r>
      <w:r w:rsidR="006B33F9" w:rsidRPr="00451F4C">
        <w:t xml:space="preserve"> insurers</w:t>
      </w:r>
      <w:r w:rsidR="000D565E" w:rsidRPr="00451F4C">
        <w:t>.</w:t>
      </w:r>
      <w:r w:rsidR="000D565E" w:rsidRPr="00451F4C">
        <w:rPr>
          <w:rStyle w:val="FootnoteReference"/>
          <w:rFonts w:cs="Arial"/>
        </w:rPr>
        <w:footnoteReference w:id="177"/>
      </w:r>
      <w:r w:rsidR="006B33F9" w:rsidRPr="00451F4C">
        <w:t xml:space="preserve"> </w:t>
      </w:r>
      <w:r w:rsidR="000D565E" w:rsidRPr="00451F4C">
        <w:t>A lender</w:t>
      </w:r>
      <w:r w:rsidR="006B33F9" w:rsidRPr="00451F4C">
        <w:t xml:space="preserve"> could </w:t>
      </w:r>
      <w:r w:rsidR="00817090" w:rsidRPr="00451F4C">
        <w:t xml:space="preserve">do </w:t>
      </w:r>
      <w:r w:rsidR="006B33F9" w:rsidRPr="00451F4C">
        <w:t>so by imposing a condition</w:t>
      </w:r>
      <w:r w:rsidR="00A601E1" w:rsidRPr="00451F4C">
        <w:t xml:space="preserve"> </w:t>
      </w:r>
      <w:r w:rsidR="006B33F9" w:rsidRPr="00451F4C">
        <w:t>on the provision of credit that</w:t>
      </w:r>
      <w:r w:rsidR="00A601E1" w:rsidRPr="00451F4C">
        <w:t xml:space="preserve"> adequate </w:t>
      </w:r>
      <w:r w:rsidR="009738EB" w:rsidRPr="00451F4C">
        <w:t>and appropriate</w:t>
      </w:r>
      <w:r w:rsidR="00A601E1" w:rsidRPr="00451F4C">
        <w:t xml:space="preserve"> insurance</w:t>
      </w:r>
      <w:r w:rsidR="006B33F9" w:rsidRPr="00451F4C">
        <w:t xml:space="preserve"> be purchased</w:t>
      </w:r>
      <w:r w:rsidR="00EB5A29" w:rsidRPr="00451F4C">
        <w:t xml:space="preserve"> and maintained throughout the period of the loan</w:t>
      </w:r>
      <w:r w:rsidR="00A601E1" w:rsidRPr="00451F4C">
        <w:t>.</w:t>
      </w:r>
      <w:r w:rsidR="00A601E1" w:rsidRPr="00451F4C">
        <w:rPr>
          <w:rStyle w:val="FootnoteReference"/>
          <w:rFonts w:cs="Arial"/>
        </w:rPr>
        <w:footnoteReference w:id="178"/>
      </w:r>
      <w:r w:rsidR="00A601E1" w:rsidRPr="00451F4C">
        <w:t xml:space="preserve"> </w:t>
      </w:r>
      <w:r w:rsidR="006B33F9" w:rsidRPr="00451F4C">
        <w:t>If insurer</w:t>
      </w:r>
      <w:r>
        <w:t>s</w:t>
      </w:r>
      <w:r w:rsidR="006B33F9" w:rsidRPr="00451F4C">
        <w:t xml:space="preserve"> </w:t>
      </w:r>
      <w:r w:rsidR="007D4291" w:rsidRPr="00451F4C">
        <w:t>decline</w:t>
      </w:r>
      <w:r>
        <w:t>d</w:t>
      </w:r>
      <w:r w:rsidR="006B33F9" w:rsidRPr="00451F4C">
        <w:t xml:space="preserve"> to provide cover owing </w:t>
      </w:r>
      <w:r w:rsidR="007D4291" w:rsidRPr="00451F4C">
        <w:t xml:space="preserve">to the </w:t>
      </w:r>
      <w:r w:rsidR="009E6FB6">
        <w:t xml:space="preserve">severity of the </w:t>
      </w:r>
      <w:r w:rsidR="006B33F9" w:rsidRPr="00451F4C">
        <w:t>risk</w:t>
      </w:r>
      <w:r w:rsidR="007D4291" w:rsidRPr="00451F4C">
        <w:t>s</w:t>
      </w:r>
      <w:r w:rsidR="006B33F9" w:rsidRPr="00451F4C">
        <w:t>, the funding would not be forthcoming.</w:t>
      </w:r>
      <w:r w:rsidR="006B33F9" w:rsidRPr="00451F4C">
        <w:rPr>
          <w:rStyle w:val="FootnoteReference"/>
          <w:rFonts w:cs="Arial"/>
        </w:rPr>
        <w:footnoteReference w:id="179"/>
      </w:r>
      <w:r w:rsidR="006B33F9" w:rsidRPr="00451F4C">
        <w:t xml:space="preserve"> </w:t>
      </w:r>
      <w:r w:rsidR="000D565E" w:rsidRPr="00451F4C">
        <w:t>Thus, whilst neither the legislature nor the</w:t>
      </w:r>
      <w:r w:rsidR="00A601E1" w:rsidRPr="00451F4C">
        <w:t xml:space="preserve"> regulator may have required such insurance to be obtained, a lender exposed to the</w:t>
      </w:r>
      <w:r w:rsidR="001E5576" w:rsidRPr="00451F4C">
        <w:t xml:space="preserve"> </w:t>
      </w:r>
      <w:r w:rsidR="000D565E" w:rsidRPr="00451F4C">
        <w:t xml:space="preserve">risk of its charge losing </w:t>
      </w:r>
      <w:r w:rsidR="001E5576" w:rsidRPr="00451F4C">
        <w:t xml:space="preserve">priority </w:t>
      </w:r>
      <w:r w:rsidR="000D565E" w:rsidRPr="00451F4C">
        <w:t>could make this demand</w:t>
      </w:r>
      <w:r w:rsidR="00BF5063" w:rsidRPr="00451F4C">
        <w:t xml:space="preserve">. This </w:t>
      </w:r>
      <w:r w:rsidR="009E6FB6">
        <w:t>is</w:t>
      </w:r>
      <w:r w:rsidR="00BF5063" w:rsidRPr="00451F4C">
        <w:t xml:space="preserve"> a powerful indirect benefit associated with the prioritisation of the regulator’s charge.</w:t>
      </w:r>
      <w:r w:rsidR="009E6FB6">
        <w:t xml:space="preserve"> A</w:t>
      </w:r>
      <w:r w:rsidR="00700369">
        <w:t>n</w:t>
      </w:r>
      <w:r w:rsidR="009E6FB6">
        <w:t xml:space="preserve"> alternat</w:t>
      </w:r>
      <w:r w:rsidR="004F1FE9">
        <w:t>iv</w:t>
      </w:r>
      <w:r w:rsidR="009E6FB6">
        <w:t>e benefit</w:t>
      </w:r>
      <w:r w:rsidR="00700369">
        <w:t>, which may arise in some cases,</w:t>
      </w:r>
      <w:r w:rsidR="009E6FB6">
        <w:t xml:space="preserve"> would be</w:t>
      </w:r>
      <w:r w:rsidR="00700369">
        <w:t xml:space="preserve"> the imposition of conditions</w:t>
      </w:r>
      <w:r w:rsidR="004F1FE9">
        <w:t xml:space="preserve"> by an insurer that required</w:t>
      </w:r>
      <w:r w:rsidR="00700369">
        <w:t xml:space="preserve"> the borrower </w:t>
      </w:r>
      <w:r w:rsidR="00700369" w:rsidRPr="00700369">
        <w:t xml:space="preserve">to </w:t>
      </w:r>
      <w:r w:rsidR="00700369">
        <w:t>adopt</w:t>
      </w:r>
      <w:r w:rsidR="00700369" w:rsidRPr="00700369">
        <w:t xml:space="preserve"> </w:t>
      </w:r>
      <w:r w:rsidR="00700369">
        <w:t xml:space="preserve">pollution-prevention </w:t>
      </w:r>
      <w:r w:rsidR="00700369" w:rsidRPr="00700369">
        <w:t xml:space="preserve">measures </w:t>
      </w:r>
      <w:r w:rsidR="00700369">
        <w:t xml:space="preserve">in order to </w:t>
      </w:r>
      <w:r w:rsidR="004F1FE9">
        <w:t>be offered</w:t>
      </w:r>
      <w:r w:rsidR="009E6FB6">
        <w:t xml:space="preserve"> the relevant insurance.</w:t>
      </w:r>
    </w:p>
    <w:p w:rsidR="0024583D" w:rsidRPr="00451F4C" w:rsidRDefault="004A1400" w:rsidP="00D44DCF">
      <w:pPr>
        <w:pStyle w:val="PhDParagraphnoIdent"/>
        <w:ind w:firstLine="709"/>
      </w:pPr>
      <w:r w:rsidRPr="00451F4C">
        <w:lastRenderedPageBreak/>
        <w:t>Secondly</w:t>
      </w:r>
      <w:r w:rsidR="0024583D" w:rsidRPr="00451F4C">
        <w:t xml:space="preserve">, prospective lenders may </w:t>
      </w:r>
      <w:r w:rsidR="009F2421">
        <w:t xml:space="preserve">also </w:t>
      </w:r>
      <w:r w:rsidR="0024583D" w:rsidRPr="00451F4C">
        <w:t xml:space="preserve">cater ex ante for the risk that their charge </w:t>
      </w:r>
      <w:r w:rsidR="00BA65A8" w:rsidRPr="00451F4C">
        <w:t xml:space="preserve">may lose priority and, consequently, </w:t>
      </w:r>
      <w:r w:rsidR="0024583D" w:rsidRPr="00451F4C">
        <w:t xml:space="preserve">be insufficient to cover the funds advanced under loan. </w:t>
      </w:r>
      <w:r w:rsidR="00BA65A8" w:rsidRPr="00451F4C">
        <w:t>They</w:t>
      </w:r>
      <w:r w:rsidR="0024583D" w:rsidRPr="00451F4C">
        <w:t xml:space="preserve"> may </w:t>
      </w:r>
      <w:r w:rsidR="009E7B0C" w:rsidRPr="00451F4C">
        <w:t xml:space="preserve">‘contract around’ this risk by </w:t>
      </w:r>
      <w:r w:rsidR="0024583D" w:rsidRPr="00451F4C">
        <w:t>charg</w:t>
      </w:r>
      <w:r w:rsidR="009E7B0C" w:rsidRPr="00451F4C">
        <w:t>ing</w:t>
      </w:r>
      <w:r w:rsidR="0024583D" w:rsidRPr="00451F4C">
        <w:t xml:space="preserve"> a higher interest rate in respect of the finance provided (i.e. </w:t>
      </w:r>
      <w:r w:rsidR="009E7B0C" w:rsidRPr="00451F4C">
        <w:t>demand a higher rate of return) or, indeed, refuse to lend altogether.</w:t>
      </w:r>
      <w:r w:rsidR="0024583D" w:rsidRPr="00451F4C">
        <w:rPr>
          <w:rStyle w:val="FootnoteReference"/>
        </w:rPr>
        <w:footnoteReference w:id="180"/>
      </w:r>
      <w:r w:rsidR="0024583D" w:rsidRPr="00451F4C">
        <w:t xml:space="preserve"> That two commercial parties </w:t>
      </w:r>
      <w:r w:rsidR="00BA65A8" w:rsidRPr="00451F4C">
        <w:t xml:space="preserve">can </w:t>
      </w:r>
      <w:r w:rsidR="0024583D" w:rsidRPr="00451F4C">
        <w:t>negotiate</w:t>
      </w:r>
      <w:r w:rsidR="008C4D7F" w:rsidRPr="00451F4C">
        <w:t>,</w:t>
      </w:r>
      <w:r w:rsidR="0024583D" w:rsidRPr="00451F4C">
        <w:t xml:space="preserve"> </w:t>
      </w:r>
      <w:r w:rsidR="008C4D7F" w:rsidRPr="00451F4C">
        <w:t xml:space="preserve">at arm’s length, </w:t>
      </w:r>
      <w:r w:rsidR="0024583D" w:rsidRPr="00451F4C">
        <w:t xml:space="preserve">the terms of </w:t>
      </w:r>
      <w:r w:rsidR="00633E9B" w:rsidRPr="00451F4C">
        <w:t>any secured</w:t>
      </w:r>
      <w:r w:rsidR="0024583D" w:rsidRPr="00451F4C">
        <w:t xml:space="preserve"> loan should counteract any fairness-based arguments </w:t>
      </w:r>
      <w:r w:rsidR="00AE00A9" w:rsidRPr="00451F4C">
        <w:t>against the l</w:t>
      </w:r>
      <w:r w:rsidR="0024583D" w:rsidRPr="00451F4C">
        <w:t xml:space="preserve">egitimacy of </w:t>
      </w:r>
      <w:r w:rsidR="00AE00A9" w:rsidRPr="00451F4C">
        <w:t>a regulator’s</w:t>
      </w:r>
      <w:r w:rsidR="0024583D" w:rsidRPr="00451F4C">
        <w:t xml:space="preserve"> prior ranking charge. Society does not benefit from the same ex ante opportunity to negotiate the terms of the debt to which it may be subject nor diversify </w:t>
      </w:r>
      <w:r w:rsidR="008C4D7F" w:rsidRPr="00451F4C">
        <w:t>its</w:t>
      </w:r>
      <w:r w:rsidR="00633E9B" w:rsidRPr="00451F4C">
        <w:t xml:space="preserve"> exposure to it</w:t>
      </w:r>
      <w:r w:rsidR="0024583D" w:rsidRPr="00451F4C">
        <w:t xml:space="preserve"> should an operator enter into liquidation with outstanding environmental liabilities.</w:t>
      </w:r>
      <w:r w:rsidR="0024583D" w:rsidRPr="00451F4C">
        <w:rPr>
          <w:rStyle w:val="FootnoteReference"/>
        </w:rPr>
        <w:footnoteReference w:id="181"/>
      </w:r>
      <w:r w:rsidR="00BA65A8" w:rsidRPr="00451F4C">
        <w:t xml:space="preserve"> </w:t>
      </w:r>
      <w:r w:rsidR="009E7B0C" w:rsidRPr="00451F4C">
        <w:t xml:space="preserve">With regards </w:t>
      </w:r>
      <w:r w:rsidR="006A565D" w:rsidRPr="00451F4C">
        <w:t xml:space="preserve">to </w:t>
      </w:r>
      <w:r w:rsidR="009E7B0C" w:rsidRPr="00451F4C">
        <w:t>existing lenders, t</w:t>
      </w:r>
      <w:r w:rsidR="00BA65A8" w:rsidRPr="00451F4C">
        <w:t xml:space="preserve">here is the argument </w:t>
      </w:r>
      <w:r w:rsidR="009E7B0C" w:rsidRPr="00451F4C">
        <w:t xml:space="preserve">akin to that </w:t>
      </w:r>
      <w:r w:rsidR="00BA65A8" w:rsidRPr="00451F4C">
        <w:t xml:space="preserve">advanced by Oliver LJ in </w:t>
      </w:r>
      <w:r w:rsidR="00BA65A8" w:rsidRPr="00451F4C">
        <w:rPr>
          <w:i/>
        </w:rPr>
        <w:t>Haymarket</w:t>
      </w:r>
      <w:r w:rsidR="00BA65A8" w:rsidRPr="00451F4C">
        <w:t xml:space="preserve"> that owing to the relevant body of jurisprudence </w:t>
      </w:r>
      <w:r w:rsidR="008C4D7F" w:rsidRPr="00451F4C">
        <w:t>discussed above,</w:t>
      </w:r>
      <w:r w:rsidR="00BA65A8" w:rsidRPr="00451F4C">
        <w:t xml:space="preserve"> lenders should have been aware that </w:t>
      </w:r>
      <w:r w:rsidR="009E7B0C" w:rsidRPr="00451F4C">
        <w:t xml:space="preserve">the loss of prior ranking status </w:t>
      </w:r>
      <w:r w:rsidR="00BA65A8" w:rsidRPr="00451F4C">
        <w:t xml:space="preserve">was a commercial risk to be managed. </w:t>
      </w:r>
    </w:p>
    <w:p w:rsidR="00242AA4" w:rsidRPr="00451F4C" w:rsidRDefault="00242AA4" w:rsidP="00242AA4">
      <w:pPr>
        <w:pStyle w:val="PhDParagraph"/>
      </w:pPr>
      <w:r w:rsidRPr="00451F4C">
        <w:t xml:space="preserve">Thirdly and relatedly, any increase in the cost of obtaining a loan as a result of the prospect of the regulator’s prior ranking charge may be seen as a legitimate indirect cost associated with being permitted to self-insure or indeed, for failing to purchase sufficient and appropriate supporting financial security </w:t>
      </w:r>
      <w:r w:rsidR="006A565D" w:rsidRPr="00451F4C">
        <w:t>instruments</w:t>
      </w:r>
      <w:r w:rsidRPr="00451F4C">
        <w:t xml:space="preserve"> (e.g. insurance). </w:t>
      </w:r>
      <w:r w:rsidR="00AE00A9" w:rsidRPr="00451F4C">
        <w:t xml:space="preserve">The regulator’s charge would, of course, have been largely unnecessary had a financial security </w:t>
      </w:r>
      <w:r w:rsidR="006A565D" w:rsidRPr="00451F4C">
        <w:t>instrument</w:t>
      </w:r>
      <w:r w:rsidR="00AE00A9" w:rsidRPr="00451F4C">
        <w:t xml:space="preserve"> been obtained ex ante. The cost of the loan would now reflect the lender’s assessment of, inter alia, the environmental risk</w:t>
      </w:r>
      <w:r w:rsidR="006A565D" w:rsidRPr="00451F4C">
        <w:t>s</w:t>
      </w:r>
      <w:r w:rsidR="00AE00A9" w:rsidRPr="00451F4C">
        <w:t xml:space="preserve"> exhibited by the operator. This </w:t>
      </w:r>
      <w:r w:rsidR="00250288">
        <w:t>reduces</w:t>
      </w:r>
      <w:r w:rsidR="00AE00A9" w:rsidRPr="00451F4C">
        <w:t xml:space="preserve"> somewhat the obvious upside of self-insurance for the self-insuring operator: that they do not have to incur the direct or indirect costs of purchased financial security </w:t>
      </w:r>
      <w:r w:rsidR="006A565D" w:rsidRPr="00451F4C">
        <w:t>instruments</w:t>
      </w:r>
      <w:r w:rsidR="00AE00A9" w:rsidRPr="00451F4C">
        <w:t xml:space="preserve">. </w:t>
      </w:r>
    </w:p>
    <w:p w:rsidR="00AF240E" w:rsidRPr="00451F4C" w:rsidRDefault="00242AA4" w:rsidP="0024583D">
      <w:pPr>
        <w:pStyle w:val="PhDParagraph"/>
      </w:pPr>
      <w:r w:rsidRPr="00451F4C">
        <w:t>Fourthly</w:t>
      </w:r>
      <w:r w:rsidR="004A1400" w:rsidRPr="00451F4C">
        <w:t xml:space="preserve">, </w:t>
      </w:r>
      <w:r w:rsidR="00AF240E" w:rsidRPr="00451F4C">
        <w:t xml:space="preserve">a failure to </w:t>
      </w:r>
      <w:r w:rsidR="004A1400" w:rsidRPr="00451F4C">
        <w:t>accord priority to the regulator</w:t>
      </w:r>
      <w:r w:rsidR="006A565D" w:rsidRPr="00451F4C">
        <w:t>’</w:t>
      </w:r>
      <w:r w:rsidR="004A1400" w:rsidRPr="00451F4C">
        <w:t>s charge</w:t>
      </w:r>
      <w:r w:rsidR="00AF240E" w:rsidRPr="00451F4C">
        <w:t xml:space="preserve"> would offer no incentive for the lender to monitor the environmental risk</w:t>
      </w:r>
      <w:r w:rsidR="006A565D" w:rsidRPr="00451F4C">
        <w:t>s</w:t>
      </w:r>
      <w:r w:rsidR="00AF240E" w:rsidRPr="00451F4C">
        <w:t xml:space="preserve"> exhibited by the borrower-operator</w:t>
      </w:r>
      <w:r w:rsidR="00ED61A9">
        <w:t xml:space="preserve"> during the term of the loan</w:t>
      </w:r>
      <w:r w:rsidR="00AF240E" w:rsidRPr="00451F4C">
        <w:t>.</w:t>
      </w:r>
      <w:r w:rsidR="00AF240E" w:rsidRPr="00451F4C">
        <w:rPr>
          <w:rStyle w:val="FootnoteReference"/>
          <w:rFonts w:cs="Arial"/>
        </w:rPr>
        <w:footnoteReference w:id="182"/>
      </w:r>
      <w:r w:rsidR="00AF240E" w:rsidRPr="00451F4C">
        <w:t xml:space="preserve"> </w:t>
      </w:r>
      <w:r w:rsidR="0078425D">
        <w:t>An unsatisfactory environmental audit could, for instance, be classed as a default for the purposes of the loan agreement. Without an incentive to monitor</w:t>
      </w:r>
      <w:r w:rsidR="00AF240E" w:rsidRPr="00451F4C">
        <w:t xml:space="preserve">, </w:t>
      </w:r>
      <w:r w:rsidR="0078425D">
        <w:t>lenders</w:t>
      </w:r>
      <w:r w:rsidR="00AF240E" w:rsidRPr="00451F4C">
        <w:t xml:space="preserve"> </w:t>
      </w:r>
      <w:r w:rsidR="00AF240E" w:rsidRPr="00451F4C">
        <w:lastRenderedPageBreak/>
        <w:t xml:space="preserve">may disengage entirely, merely looking to exercise </w:t>
      </w:r>
      <w:r w:rsidR="0078425D">
        <w:t>their</w:t>
      </w:r>
      <w:r w:rsidR="00AF240E" w:rsidRPr="00451F4C">
        <w:t xml:space="preserve"> power of sale under the charge for the payment of sums owed if and when required.</w:t>
      </w:r>
      <w:r w:rsidR="00AF240E" w:rsidRPr="00451F4C">
        <w:rPr>
          <w:rStyle w:val="FootnoteReference"/>
          <w:rFonts w:cs="Arial"/>
        </w:rPr>
        <w:footnoteReference w:id="183"/>
      </w:r>
      <w:r w:rsidR="00AF240E" w:rsidRPr="00451F4C">
        <w:t xml:space="preserve"> An exception would be where the prospect of an industrial accident harming the premises upon which a charge had been taken could render the security less valuable.</w:t>
      </w:r>
      <w:r w:rsidR="00AF240E" w:rsidRPr="00451F4C">
        <w:rPr>
          <w:rStyle w:val="FootnoteReference"/>
          <w:rFonts w:cs="Arial"/>
        </w:rPr>
        <w:footnoteReference w:id="184"/>
      </w:r>
      <w:r w:rsidR="00AF240E" w:rsidRPr="00451F4C">
        <w:t xml:space="preserve"> In such circumstances, the requisite incentive to monitor would exist.</w:t>
      </w:r>
    </w:p>
    <w:p w:rsidR="0024583D" w:rsidRPr="00A37C29" w:rsidRDefault="00242AA4" w:rsidP="0024583D">
      <w:pPr>
        <w:pStyle w:val="PhDParagraph"/>
      </w:pPr>
      <w:r w:rsidRPr="00451F4C">
        <w:t>Fifthly</w:t>
      </w:r>
      <w:r w:rsidR="0024583D" w:rsidRPr="00451F4C">
        <w:t xml:space="preserve">, there is the argument that any potential loss suffered by the lender </w:t>
      </w:r>
      <w:r w:rsidR="002C4583" w:rsidRPr="00451F4C">
        <w:t>should be</w:t>
      </w:r>
      <w:r w:rsidR="0024583D" w:rsidRPr="00451F4C">
        <w:t xml:space="preserve"> </w:t>
      </w:r>
      <w:r w:rsidR="00AE14CF">
        <w:t xml:space="preserve">deemed to be </w:t>
      </w:r>
      <w:r w:rsidR="0024583D" w:rsidRPr="00451F4C">
        <w:t xml:space="preserve">a risk associated with this form of lending, a core commercial activity of a bank. Leebron </w:t>
      </w:r>
      <w:r w:rsidR="000D40B5" w:rsidRPr="00451F4C">
        <w:t>perceives</w:t>
      </w:r>
      <w:r w:rsidR="0024583D" w:rsidRPr="00451F4C">
        <w:t xml:space="preserve"> long-term lenders </w:t>
      </w:r>
      <w:r w:rsidR="000D40B5" w:rsidRPr="00451F4C">
        <w:t>to be</w:t>
      </w:r>
      <w:r w:rsidR="0024583D" w:rsidRPr="00451F4C">
        <w:t xml:space="preserve"> ‘investors’ in a business, investors who have entered into a joint-venture with the shareholders but securing differing terms for their investment.</w:t>
      </w:r>
      <w:r w:rsidR="0024583D" w:rsidRPr="00451F4C">
        <w:rPr>
          <w:rStyle w:val="FootnoteReference"/>
          <w:rFonts w:cs="Arial"/>
        </w:rPr>
        <w:footnoteReference w:id="185"/>
      </w:r>
      <w:r w:rsidR="0024583D" w:rsidRPr="00451F4C">
        <w:t xml:space="preserve"> Upon this </w:t>
      </w:r>
      <w:r w:rsidR="000D40B5" w:rsidRPr="00451F4C">
        <w:t>view</w:t>
      </w:r>
      <w:r w:rsidR="0024583D" w:rsidRPr="00451F4C">
        <w:t>, it may be quite appropriate for a lender</w:t>
      </w:r>
      <w:r w:rsidR="006A565D" w:rsidRPr="00451F4C">
        <w:t xml:space="preserve"> to</w:t>
      </w:r>
      <w:r w:rsidR="0024583D" w:rsidRPr="00451F4C">
        <w:t xml:space="preserve"> ‘lose out’ in the same way </w:t>
      </w:r>
      <w:r w:rsidR="006A565D" w:rsidRPr="00451F4C">
        <w:t>as</w:t>
      </w:r>
      <w:r w:rsidR="0024583D" w:rsidRPr="00451F4C">
        <w:t xml:space="preserve"> shareholders if the company becomes insolvent; why should </w:t>
      </w:r>
      <w:r w:rsidR="002C4583" w:rsidRPr="00451F4C">
        <w:t xml:space="preserve">profit-seeking </w:t>
      </w:r>
      <w:r w:rsidR="000D40B5" w:rsidRPr="00451F4C">
        <w:t>lenders</w:t>
      </w:r>
      <w:r w:rsidR="0024583D" w:rsidRPr="00451F4C">
        <w:t xml:space="preserve"> be immune from the </w:t>
      </w:r>
      <w:r w:rsidR="000D40B5" w:rsidRPr="00451F4C">
        <w:t>risk-taking of the borrower-operator?</w:t>
      </w:r>
      <w:r w:rsidR="0024583D" w:rsidRPr="00451F4C">
        <w:t xml:space="preserve"> </w:t>
      </w:r>
    </w:p>
    <w:p w:rsidR="004459E9" w:rsidRPr="001F49D8" w:rsidRDefault="00F478BC" w:rsidP="001F49D8">
      <w:pPr>
        <w:pStyle w:val="PhDParagraph"/>
        <w:rPr>
          <w:rFonts w:cs="Arial"/>
        </w:rPr>
      </w:pPr>
      <w:r>
        <w:rPr>
          <w:rFonts w:cs="Arial"/>
        </w:rPr>
        <w:t>Sixthly</w:t>
      </w:r>
      <w:r w:rsidR="004459E9" w:rsidRPr="001F49D8">
        <w:rPr>
          <w:rFonts w:cs="Arial"/>
        </w:rPr>
        <w:t xml:space="preserve">, </w:t>
      </w:r>
      <w:r w:rsidR="001F49D8" w:rsidRPr="001F49D8">
        <w:t xml:space="preserve">it will give renewed strength to the polluter-pays principle, allowing funds to be realised </w:t>
      </w:r>
      <w:r w:rsidR="001F49D8">
        <w:t xml:space="preserve">by the regulator </w:t>
      </w:r>
      <w:r w:rsidR="001F49D8" w:rsidRPr="001F49D8">
        <w:t xml:space="preserve">where the power of sale is exercised. If the charge or guarantee was to rank behind the claims of other secured creditors, then the utility of Article 8(2) of the ELD, and its equivalent in the relevant transposing regulations, would be extremely low. For example, the prior ranking charges may take security over the entire value of the </w:t>
      </w:r>
      <w:r w:rsidR="00C64B31">
        <w:t>premises</w:t>
      </w:r>
      <w:r w:rsidR="001F49D8" w:rsidRPr="001F49D8">
        <w:t xml:space="preserve"> leaving nothing for the regulator, such as where there is a prior ranking debenture. This would render the security worthless.</w:t>
      </w:r>
      <w:r w:rsidR="00A601E1" w:rsidRPr="00A601E1">
        <w:t xml:space="preserve"> </w:t>
      </w:r>
      <w:r w:rsidR="0078425D">
        <w:t>Prioritisation of the regulator’s charge</w:t>
      </w:r>
      <w:r w:rsidR="00A601E1" w:rsidRPr="00451F4C">
        <w:t xml:space="preserve"> would also reduce the scope for strategic behaviour by corporate groups to which Lord Denning MR referred in </w:t>
      </w:r>
      <w:r w:rsidR="00A601E1" w:rsidRPr="00451F4C">
        <w:rPr>
          <w:i/>
        </w:rPr>
        <w:t>Haymarket</w:t>
      </w:r>
      <w:r w:rsidR="00A601E1" w:rsidRPr="00451F4C">
        <w:t>.</w:t>
      </w:r>
    </w:p>
    <w:p w:rsidR="003468E5" w:rsidRPr="003468E5" w:rsidRDefault="00A601E1" w:rsidP="003468E5">
      <w:pPr>
        <w:pStyle w:val="PhDParagraphnoIdent"/>
        <w:ind w:firstLine="709"/>
        <w:rPr>
          <w:rFonts w:eastAsia="Calibri"/>
        </w:rPr>
      </w:pPr>
      <w:r w:rsidRPr="00F130B3">
        <w:t>Finally</w:t>
      </w:r>
      <w:r w:rsidR="00903D29" w:rsidRPr="00F130B3">
        <w:t xml:space="preserve">, </w:t>
      </w:r>
      <w:r w:rsidR="00903D29" w:rsidRPr="00F130B3">
        <w:rPr>
          <w:rFonts w:eastAsia="Calibri"/>
        </w:rPr>
        <w:t>w</w:t>
      </w:r>
      <w:r w:rsidR="00442665" w:rsidRPr="00F130B3">
        <w:rPr>
          <w:rFonts w:eastAsia="Calibri"/>
        </w:rPr>
        <w:t>hilst the priority of the statutory charge would have a consequential impact</w:t>
      </w:r>
      <w:r w:rsidR="00442665" w:rsidRPr="004A296B">
        <w:rPr>
          <w:rFonts w:eastAsia="Calibri"/>
        </w:rPr>
        <w:t xml:space="preserve"> upon the operator’s unsecured creditors in that fewer funds would be available to them</w:t>
      </w:r>
      <w:r w:rsidR="0024583D">
        <w:rPr>
          <w:rFonts w:eastAsia="Calibri"/>
        </w:rPr>
        <w:t xml:space="preserve"> upon liquidation</w:t>
      </w:r>
      <w:r w:rsidR="00442665" w:rsidRPr="004A296B">
        <w:rPr>
          <w:rFonts w:eastAsia="Calibri"/>
        </w:rPr>
        <w:t>, unsecured creditors are already predisposed to the risk of the entry of new, secured creditors to the equation.</w:t>
      </w:r>
      <w:r w:rsidR="00D923F9">
        <w:rPr>
          <w:rFonts w:eastAsia="Calibri"/>
        </w:rPr>
        <w:t xml:space="preserve"> Beyond circumstances, discussed </w:t>
      </w:r>
      <w:r w:rsidR="009254FE">
        <w:rPr>
          <w:rFonts w:eastAsia="Calibri"/>
        </w:rPr>
        <w:t>below</w:t>
      </w:r>
      <w:r w:rsidR="00D923F9">
        <w:rPr>
          <w:rFonts w:eastAsia="Calibri"/>
        </w:rPr>
        <w:t xml:space="preserve">, where the </w:t>
      </w:r>
      <w:r w:rsidR="00D923F9">
        <w:rPr>
          <w:rFonts w:eastAsia="Calibri"/>
        </w:rPr>
        <w:lastRenderedPageBreak/>
        <w:t>security amounts to a preference under s</w:t>
      </w:r>
      <w:r w:rsidR="001209BD">
        <w:rPr>
          <w:rFonts w:eastAsia="Calibri"/>
        </w:rPr>
        <w:t>ection</w:t>
      </w:r>
      <w:r w:rsidR="00D923F9">
        <w:rPr>
          <w:rFonts w:eastAsia="Calibri"/>
        </w:rPr>
        <w:t xml:space="preserve"> 239 IA 1986, the creation of new, prior ranking security is not something that unsecured creditors can prevent.</w:t>
      </w:r>
      <w:r w:rsidR="00E6215E">
        <w:rPr>
          <w:rFonts w:eastAsia="Calibri"/>
        </w:rPr>
        <w:t xml:space="preserve"> </w:t>
      </w:r>
    </w:p>
    <w:p w:rsidR="00010C72" w:rsidRDefault="00442665" w:rsidP="00F130B3">
      <w:pPr>
        <w:pStyle w:val="PhDParagraphnoIdent"/>
        <w:ind w:firstLine="709"/>
      </w:pPr>
      <w:r w:rsidRPr="00442665">
        <w:t xml:space="preserve">Taken as a whole, the argument that the </w:t>
      </w:r>
      <w:r w:rsidR="00E6215E">
        <w:t xml:space="preserve">statutory </w:t>
      </w:r>
      <w:r w:rsidRPr="00442665">
        <w:t xml:space="preserve">charge </w:t>
      </w:r>
      <w:r w:rsidR="00C72DEF">
        <w:t>will</w:t>
      </w:r>
      <w:r w:rsidRPr="00442665">
        <w:t xml:space="preserve"> be conferred priority over earlier </w:t>
      </w:r>
      <w:r w:rsidR="00DE1609">
        <w:t>char</w:t>
      </w:r>
      <w:r w:rsidRPr="00D5575E">
        <w:t>ges is</w:t>
      </w:r>
      <w:r w:rsidR="00CF4E59">
        <w:t xml:space="preserve"> </w:t>
      </w:r>
      <w:r w:rsidR="009254FE">
        <w:t>li</w:t>
      </w:r>
      <w:r w:rsidRPr="00D5575E">
        <w:t>kely to prevail owing to the preponderance of authorities adopting this position</w:t>
      </w:r>
      <w:r w:rsidR="00F46307" w:rsidRPr="00D5575E">
        <w:t xml:space="preserve">, and </w:t>
      </w:r>
      <w:r w:rsidR="00D923F9" w:rsidRPr="00D5575E">
        <w:t xml:space="preserve">the </w:t>
      </w:r>
      <w:r w:rsidR="00F46307" w:rsidRPr="00D5575E">
        <w:t xml:space="preserve">need to interpret domestic legislation in a manner which furthers the purpose of the overarching </w:t>
      </w:r>
      <w:r w:rsidR="00DE1609">
        <w:t>ELD</w:t>
      </w:r>
      <w:r w:rsidRPr="00D5575E">
        <w:t>.</w:t>
      </w:r>
      <w:r w:rsidRPr="00442665">
        <w:t xml:space="preserve"> Nevertheless, and putting aside arguments as to the relative priority of the statutory charges, the utility of the charge </w:t>
      </w:r>
      <w:r w:rsidR="00E147D2">
        <w:t xml:space="preserve">and, indeed, the scope for it to further the remedial capacity of </w:t>
      </w:r>
      <w:r w:rsidR="00E07A11" w:rsidRPr="00E07A11">
        <w:t>self-insurance</w:t>
      </w:r>
      <w:r w:rsidR="00E147D2">
        <w:t xml:space="preserve"> </w:t>
      </w:r>
      <w:r w:rsidRPr="00442665">
        <w:t>may not be as valuable</w:t>
      </w:r>
      <w:r w:rsidR="00E147D2">
        <w:t xml:space="preserve"> or effective</w:t>
      </w:r>
      <w:r w:rsidRPr="00442665">
        <w:t xml:space="preserve"> as first thought</w:t>
      </w:r>
      <w:r w:rsidR="00C72DEF">
        <w:t>;</w:t>
      </w:r>
      <w:r w:rsidR="00963359" w:rsidRPr="00963359">
        <w:t xml:space="preserve"> society may still be exposed to a significant level of residual risk</w:t>
      </w:r>
      <w:r w:rsidRPr="00442665">
        <w:t xml:space="preserve">. </w:t>
      </w:r>
      <w:r w:rsidR="00CF4E59">
        <w:t>First, w</w:t>
      </w:r>
      <w:r w:rsidRPr="00442665">
        <w:t>here such a</w:t>
      </w:r>
      <w:r w:rsidRPr="00B62FB9">
        <w:t xml:space="preserve"> charge was taken over </w:t>
      </w:r>
      <w:r w:rsidR="004D3179">
        <w:t>real</w:t>
      </w:r>
      <w:r w:rsidR="004D3179" w:rsidRPr="00B62FB9">
        <w:t xml:space="preserve"> </w:t>
      </w:r>
      <w:r w:rsidRPr="00B62FB9">
        <w:t>property that had suffered extensive damage following a</w:t>
      </w:r>
      <w:r w:rsidR="00D27F32">
        <w:t xml:space="preserve"> pollution incident</w:t>
      </w:r>
      <w:r w:rsidRPr="00B62FB9">
        <w:t xml:space="preserve"> or </w:t>
      </w:r>
      <w:r>
        <w:t xml:space="preserve">been subject to a </w:t>
      </w:r>
      <w:r w:rsidRPr="00B62FB9">
        <w:t xml:space="preserve">sustained period of contamination, even where the land </w:t>
      </w:r>
      <w:r w:rsidR="00E6215E">
        <w:t>has been remediated</w:t>
      </w:r>
      <w:r w:rsidRPr="00B62FB9">
        <w:t xml:space="preserve">, there may be little interest in the property from potential buyers owing to </w:t>
      </w:r>
      <w:r>
        <w:t xml:space="preserve">post-remediation </w:t>
      </w:r>
      <w:r w:rsidRPr="00B62FB9">
        <w:t>stigma.</w:t>
      </w:r>
      <w:r w:rsidRPr="00B62FB9">
        <w:rPr>
          <w:rStyle w:val="FootnoteReference"/>
        </w:rPr>
        <w:footnoteReference w:id="186"/>
      </w:r>
      <w:r w:rsidRPr="00B62FB9">
        <w:t xml:space="preserve"> The reduced marketability of the property may be due to concerns that claims may be brought against a new owner in respect of past contamination and that it may be difficult to obtain mortgage financing</w:t>
      </w:r>
      <w:r>
        <w:t>.</w:t>
      </w:r>
      <w:r>
        <w:rPr>
          <w:rStyle w:val="FootnoteReference"/>
        </w:rPr>
        <w:footnoteReference w:id="187"/>
      </w:r>
      <w:r>
        <w:t xml:space="preserve"> Put another way, whilst the</w:t>
      </w:r>
      <w:r w:rsidR="00B8166D">
        <w:t>re</w:t>
      </w:r>
      <w:r>
        <w:t xml:space="preserve"> may be a power of sale in respect of the premises there may be no willing buyers. </w:t>
      </w:r>
      <w:r w:rsidR="00CF4E59">
        <w:t>Secondly</w:t>
      </w:r>
      <w:r>
        <w:t xml:space="preserve">, given the likely specialist nature of many premises conducting activities with the potential to harm the environment, the actual market for these types of premises may </w:t>
      </w:r>
      <w:r w:rsidR="00D27F32">
        <w:t xml:space="preserve">be </w:t>
      </w:r>
      <w:r w:rsidR="00E147D2">
        <w:t>significantly</w:t>
      </w:r>
      <w:r w:rsidR="00E305B3">
        <w:t xml:space="preserve"> narrower and</w:t>
      </w:r>
      <w:r w:rsidR="00E147D2">
        <w:t xml:space="preserve"> less</w:t>
      </w:r>
      <w:r>
        <w:t xml:space="preserve"> </w:t>
      </w:r>
      <w:r w:rsidR="00E6215E">
        <w:t>active</w:t>
      </w:r>
      <w:r>
        <w:t xml:space="preserve"> </w:t>
      </w:r>
      <w:r w:rsidR="00E147D2">
        <w:t>than</w:t>
      </w:r>
      <w:r>
        <w:t xml:space="preserve"> </w:t>
      </w:r>
      <w:r w:rsidR="00E305B3">
        <w:t>other sectors of the commercial property market</w:t>
      </w:r>
      <w:r>
        <w:t>.</w:t>
      </w:r>
      <w:r w:rsidR="00C93C55">
        <w:t xml:space="preserve"> Therefore, it may take </w:t>
      </w:r>
      <w:r w:rsidR="00F130B3">
        <w:t>longer</w:t>
      </w:r>
      <w:r w:rsidR="00C93C55">
        <w:t xml:space="preserve"> for the property to sell</w:t>
      </w:r>
      <w:r w:rsidR="00260260">
        <w:t>, delaying the time in which the value may be realised from the asset</w:t>
      </w:r>
      <w:r w:rsidR="00C93C55">
        <w:t>.</w:t>
      </w:r>
      <w:r>
        <w:t xml:space="preserve"> </w:t>
      </w:r>
    </w:p>
    <w:p w:rsidR="00E305B3" w:rsidRDefault="00F130B3" w:rsidP="00F130B3">
      <w:pPr>
        <w:pStyle w:val="PhDParagraphnoIdent"/>
        <w:ind w:firstLine="709"/>
      </w:pPr>
      <w:r>
        <w:t>T</w:t>
      </w:r>
      <w:r w:rsidRPr="00F130B3">
        <w:t xml:space="preserve">he drafting of the new EDR offers a useful solution to reduce residual risk in </w:t>
      </w:r>
      <w:r>
        <w:t xml:space="preserve">both </w:t>
      </w:r>
      <w:r w:rsidRPr="00F130B3">
        <w:t>these circumstances. As we have seen, it permits a charge to be taken over ‘any’ premises which the operator owns. This seemingly permits a regulator to take a charge over another more commercially attractive property owned by the operator and so increase the prospect of a successful sale.</w:t>
      </w:r>
      <w:r>
        <w:t xml:space="preserve"> However</w:t>
      </w:r>
      <w:r w:rsidR="00CF4E59">
        <w:t xml:space="preserve">, </w:t>
      </w:r>
      <w:r>
        <w:t xml:space="preserve">it is important to recognise that </w:t>
      </w:r>
      <w:r w:rsidR="00CF4E59">
        <w:t xml:space="preserve">a prioritised charge will offer </w:t>
      </w:r>
      <w:r w:rsidR="00CF4E59">
        <w:lastRenderedPageBreak/>
        <w:t xml:space="preserve">little in the way of a remedy where the responsible operator is part of a corporate group that has structured its affairs to ensure that valuable </w:t>
      </w:r>
      <w:r w:rsidR="00631BF4">
        <w:t>real property is</w:t>
      </w:r>
      <w:r w:rsidR="00CF4E59">
        <w:t xml:space="preserve"> removed from those group companies engaged in activities </w:t>
      </w:r>
      <w:r w:rsidR="00D27F32">
        <w:t>that</w:t>
      </w:r>
      <w:r w:rsidR="00CF4E59">
        <w:t xml:space="preserve"> have the potential to cause </w:t>
      </w:r>
      <w:r w:rsidR="00D27F32">
        <w:t>environmental damage</w:t>
      </w:r>
      <w:r w:rsidR="00963359">
        <w:t xml:space="preserve">. </w:t>
      </w:r>
    </w:p>
    <w:p w:rsidR="00F130B3" w:rsidRPr="00E305B3" w:rsidRDefault="00F130B3" w:rsidP="007165EB">
      <w:pPr>
        <w:pStyle w:val="PhDParagraph"/>
      </w:pPr>
    </w:p>
    <w:p w:rsidR="00DD5C45" w:rsidRDefault="00C9715D" w:rsidP="00C9715D">
      <w:pPr>
        <w:pStyle w:val="Heading3"/>
        <w:numPr>
          <w:ilvl w:val="0"/>
          <w:numId w:val="0"/>
        </w:numPr>
      </w:pPr>
      <w:bookmarkStart w:id="8" w:name="_Ref432772313"/>
      <w:r>
        <w:t xml:space="preserve">(c) </w:t>
      </w:r>
      <w:r w:rsidR="00DD5C45">
        <w:t xml:space="preserve">Scenario </w:t>
      </w:r>
      <w:r w:rsidR="00092140">
        <w:t>3</w:t>
      </w:r>
      <w:r w:rsidR="00DD5C45">
        <w:t xml:space="preserve">: </w:t>
      </w:r>
      <w:r>
        <w:t>Cost Recovery Followed by Operator’s Liquidation</w:t>
      </w:r>
      <w:bookmarkEnd w:id="8"/>
      <w:r>
        <w:t xml:space="preserve"> </w:t>
      </w:r>
    </w:p>
    <w:p w:rsidR="00DD5C45" w:rsidRPr="007165EB" w:rsidRDefault="00DD5C45" w:rsidP="007165EB">
      <w:pPr>
        <w:pStyle w:val="PhDParagraph"/>
      </w:pPr>
    </w:p>
    <w:p w:rsidR="009B64D8" w:rsidRPr="00F251C0" w:rsidRDefault="00B51A85" w:rsidP="00F251C0">
      <w:pPr>
        <w:pStyle w:val="PhDParagraph"/>
        <w:ind w:firstLine="0"/>
        <w:rPr>
          <w:rFonts w:eastAsia="Calibri" w:cs="Arial"/>
        </w:rPr>
      </w:pPr>
      <w:r w:rsidRPr="00A573CA">
        <w:t xml:space="preserve">The </w:t>
      </w:r>
      <w:r w:rsidR="00092140" w:rsidRPr="00A573CA">
        <w:t>third</w:t>
      </w:r>
      <w:r w:rsidRPr="00A573CA">
        <w:t xml:space="preserve"> scenario relates to </w:t>
      </w:r>
      <w:r w:rsidR="00793C03" w:rsidRPr="00A573CA">
        <w:t>a</w:t>
      </w:r>
      <w:r w:rsidR="00435AF1" w:rsidRPr="00A573CA">
        <w:t xml:space="preserve"> situation where </w:t>
      </w:r>
      <w:r w:rsidR="00494E3B">
        <w:t xml:space="preserve">an operator enters into insolvent liquidation after </w:t>
      </w:r>
      <w:r w:rsidR="00B371FE" w:rsidRPr="00A573CA">
        <w:t>a</w:t>
      </w:r>
      <w:r w:rsidR="00646CC2">
        <w:t xml:space="preserve"> </w:t>
      </w:r>
      <w:r w:rsidR="00494E3B">
        <w:t xml:space="preserve">successful cost recovery action by the </w:t>
      </w:r>
      <w:r w:rsidR="00646CC2">
        <w:t>regulator</w:t>
      </w:r>
      <w:r w:rsidR="00494E3B">
        <w:t xml:space="preserve">. </w:t>
      </w:r>
      <w:r w:rsidR="00E4718B" w:rsidRPr="00A573CA">
        <w:t>I</w:t>
      </w:r>
      <w:r w:rsidR="00A376E8" w:rsidRPr="00A573CA">
        <w:t>n addition to pushing the operator into insolven</w:t>
      </w:r>
      <w:r w:rsidR="00100040">
        <w:t>t</w:t>
      </w:r>
      <w:r w:rsidR="00A376E8" w:rsidRPr="00A573CA">
        <w:t xml:space="preserve"> </w:t>
      </w:r>
      <w:r w:rsidR="00FB4908">
        <w:t>liquidation</w:t>
      </w:r>
      <w:r w:rsidR="00A376E8" w:rsidRPr="00A573CA">
        <w:t>, t</w:t>
      </w:r>
      <w:r w:rsidR="00B371FE" w:rsidRPr="00A573CA">
        <w:t xml:space="preserve">he effect of </w:t>
      </w:r>
      <w:r w:rsidR="008F7486" w:rsidRPr="00A573CA">
        <w:t xml:space="preserve">the </w:t>
      </w:r>
      <w:r w:rsidR="00B371FE" w:rsidRPr="00A573CA">
        <w:t xml:space="preserve">action </w:t>
      </w:r>
      <w:r w:rsidR="00A376E8" w:rsidRPr="00A573CA">
        <w:rPr>
          <w:rFonts w:eastAsia="Calibri" w:cs="Arial"/>
        </w:rPr>
        <w:t xml:space="preserve">will be </w:t>
      </w:r>
      <w:r w:rsidR="001D5633" w:rsidRPr="00A573CA">
        <w:rPr>
          <w:rFonts w:eastAsia="Calibri" w:cs="Arial"/>
        </w:rPr>
        <w:t>a reduction in funds</w:t>
      </w:r>
      <w:r w:rsidR="00880F8D" w:rsidRPr="00A573CA">
        <w:rPr>
          <w:rFonts w:eastAsia="Calibri" w:cs="Arial"/>
        </w:rPr>
        <w:t xml:space="preserve"> available to distribute to the operator’s unsecured creditors</w:t>
      </w:r>
      <w:r w:rsidR="00C93C55">
        <w:rPr>
          <w:rFonts w:eastAsia="Calibri" w:cs="Arial"/>
        </w:rPr>
        <w:t xml:space="preserve"> in the winding-up process</w:t>
      </w:r>
      <w:r w:rsidR="00880F8D" w:rsidRPr="00A573CA">
        <w:rPr>
          <w:rFonts w:eastAsia="Calibri" w:cs="Arial"/>
        </w:rPr>
        <w:t xml:space="preserve">. </w:t>
      </w:r>
      <w:r w:rsidR="000B1AD7">
        <w:rPr>
          <w:rFonts w:eastAsia="Calibri" w:cs="Arial"/>
        </w:rPr>
        <w:t>A significant</w:t>
      </w:r>
      <w:r w:rsidR="004B20BC" w:rsidRPr="00A573CA">
        <w:rPr>
          <w:rFonts w:eastAsia="Calibri" w:cs="Arial"/>
        </w:rPr>
        <w:t xml:space="preserve"> risk to which society, as residual risk bearer, is exposed is that </w:t>
      </w:r>
      <w:r w:rsidR="00880F8D" w:rsidRPr="00A573CA">
        <w:rPr>
          <w:rFonts w:eastAsia="Calibri" w:cs="Arial"/>
        </w:rPr>
        <w:t>payments</w:t>
      </w:r>
      <w:r w:rsidR="001346B0" w:rsidRPr="00A573CA">
        <w:rPr>
          <w:rFonts w:eastAsia="Calibri" w:cs="Arial"/>
        </w:rPr>
        <w:t xml:space="preserve"> made</w:t>
      </w:r>
      <w:r w:rsidR="00880F8D" w:rsidRPr="00A573CA">
        <w:rPr>
          <w:rFonts w:eastAsia="Calibri" w:cs="Arial"/>
        </w:rPr>
        <w:t xml:space="preserve">, security </w:t>
      </w:r>
      <w:r w:rsidR="002319A6" w:rsidRPr="00A573CA">
        <w:rPr>
          <w:rFonts w:eastAsia="Calibri" w:cs="Arial"/>
        </w:rPr>
        <w:t>taken or guarantee</w:t>
      </w:r>
      <w:r w:rsidR="00A376E8" w:rsidRPr="00A573CA">
        <w:rPr>
          <w:rFonts w:eastAsia="Calibri" w:cs="Arial"/>
        </w:rPr>
        <w:t>s</w:t>
      </w:r>
      <w:r w:rsidR="002319A6" w:rsidRPr="00A573CA">
        <w:rPr>
          <w:rFonts w:eastAsia="Calibri" w:cs="Arial"/>
        </w:rPr>
        <w:t xml:space="preserve"> given </w:t>
      </w:r>
      <w:r w:rsidR="00880F8D" w:rsidRPr="00A573CA">
        <w:rPr>
          <w:rFonts w:eastAsia="Calibri" w:cs="Arial"/>
        </w:rPr>
        <w:t>may</w:t>
      </w:r>
      <w:r w:rsidR="002319A6" w:rsidRPr="00A573CA">
        <w:rPr>
          <w:rFonts w:eastAsia="Calibri" w:cs="Arial"/>
        </w:rPr>
        <w:t xml:space="preserve"> amount to a voidable preference under s</w:t>
      </w:r>
      <w:r w:rsidR="00D27F32">
        <w:rPr>
          <w:rFonts w:eastAsia="Calibri" w:cs="Arial"/>
        </w:rPr>
        <w:t>ection</w:t>
      </w:r>
      <w:r w:rsidR="002319A6" w:rsidRPr="00A573CA">
        <w:rPr>
          <w:rFonts w:eastAsia="Calibri" w:cs="Arial"/>
        </w:rPr>
        <w:t xml:space="preserve"> 239 IA 1986. </w:t>
      </w:r>
    </w:p>
    <w:p w:rsidR="008A791F" w:rsidRDefault="009B64D8" w:rsidP="009B64D8">
      <w:pPr>
        <w:pStyle w:val="PhDParagraph"/>
      </w:pPr>
      <w:r>
        <w:t>Under s</w:t>
      </w:r>
      <w:r w:rsidR="0006679D">
        <w:t>ection</w:t>
      </w:r>
      <w:r>
        <w:t xml:space="preserve"> 239, a</w:t>
      </w:r>
      <w:r w:rsidRPr="00A573CA">
        <w:t xml:space="preserve"> preference </w:t>
      </w:r>
      <w:r w:rsidR="009A6ADE">
        <w:t>will be</w:t>
      </w:r>
      <w:r w:rsidRPr="00A573CA">
        <w:t xml:space="preserve"> deemed to have been given where the operator has done anything (e.g. paid an amount) or permitted anything to be done (e.g. allowed security to be taken over its assets)</w:t>
      </w:r>
      <w:r w:rsidR="00753D2D" w:rsidRPr="00A573CA">
        <w:t xml:space="preserve"> </w:t>
      </w:r>
      <w:r w:rsidRPr="00A573CA">
        <w:t xml:space="preserve">which put the </w:t>
      </w:r>
      <w:r>
        <w:t>regulator</w:t>
      </w:r>
      <w:r w:rsidRPr="00A573CA">
        <w:t xml:space="preserve"> into a position which, upon the operator’s subsequent insolvent liquidation, would be better than it would have been if the preference had not been given.</w:t>
      </w:r>
      <w:r w:rsidRPr="00A573CA">
        <w:rPr>
          <w:vertAlign w:val="superscript"/>
        </w:rPr>
        <w:footnoteReference w:id="188"/>
      </w:r>
      <w:r w:rsidRPr="00A573CA">
        <w:t xml:space="preserve"> Whilst s</w:t>
      </w:r>
      <w:r w:rsidR="0006679D">
        <w:t>ection</w:t>
      </w:r>
      <w:r w:rsidRPr="00A573CA">
        <w:t xml:space="preserve"> 239 does not require the </w:t>
      </w:r>
      <w:r>
        <w:t>regulator</w:t>
      </w:r>
      <w:r w:rsidRPr="00A573CA">
        <w:t xml:space="preserve"> to gain an advantage over other creditors, in effect, an advantage is attained as it is placed in a better position as a result of the transaction.</w:t>
      </w:r>
      <w:r w:rsidRPr="00A573CA">
        <w:rPr>
          <w:rStyle w:val="FootnoteReference"/>
        </w:rPr>
        <w:footnoteReference w:id="189"/>
      </w:r>
      <w:r w:rsidRPr="009B64D8">
        <w:t xml:space="preserve"> </w:t>
      </w:r>
      <w:r>
        <w:t xml:space="preserve">The provision </w:t>
      </w:r>
      <w:r w:rsidRPr="00FE2ABA">
        <w:t>is</w:t>
      </w:r>
      <w:r w:rsidRPr="00A573CA">
        <w:t xml:space="preserve"> designed to stop creditors interfering with the statutory allocation of entitlements</w:t>
      </w:r>
      <w:r w:rsidR="00F0642F">
        <w:t xml:space="preserve"> by </w:t>
      </w:r>
      <w:r w:rsidR="00237EBE">
        <w:t>‘</w:t>
      </w:r>
      <w:r w:rsidR="00F0642F">
        <w:t>jumping</w:t>
      </w:r>
      <w:r w:rsidR="00237EBE">
        <w:t>’</w:t>
      </w:r>
      <w:r w:rsidR="008A791F">
        <w:t xml:space="preserve"> in front of other creditors</w:t>
      </w:r>
      <w:r w:rsidRPr="00A573CA">
        <w:t xml:space="preserve"> entitled to benefit from the estate.</w:t>
      </w:r>
      <w:r w:rsidRPr="00A573CA">
        <w:rPr>
          <w:rStyle w:val="FootnoteReference"/>
        </w:rPr>
        <w:footnoteReference w:id="190"/>
      </w:r>
      <w:r>
        <w:t xml:space="preserve"> </w:t>
      </w:r>
    </w:p>
    <w:p w:rsidR="00882730" w:rsidRPr="00A573CA" w:rsidRDefault="009B64D8" w:rsidP="009B64D8">
      <w:pPr>
        <w:pStyle w:val="PhDParagraph"/>
      </w:pPr>
      <w:r>
        <w:t>W</w:t>
      </w:r>
      <w:r w:rsidR="002319A6" w:rsidRPr="00A573CA">
        <w:t xml:space="preserve">here </w:t>
      </w:r>
      <w:r w:rsidR="00F251C0">
        <w:t xml:space="preserve">a liquidator </w:t>
      </w:r>
      <w:r w:rsidR="00C93C55">
        <w:t xml:space="preserve">is appointed to wind-up </w:t>
      </w:r>
      <w:r w:rsidR="00A34A4C">
        <w:t>an operator</w:t>
      </w:r>
      <w:r w:rsidR="00C93C55">
        <w:t xml:space="preserve"> and it deems the </w:t>
      </w:r>
      <w:r w:rsidR="00A34A4C">
        <w:t>operator</w:t>
      </w:r>
      <w:r w:rsidR="002319A6" w:rsidRPr="00A573CA">
        <w:t xml:space="preserve"> </w:t>
      </w:r>
      <w:r w:rsidR="00F251C0">
        <w:t>to have given a</w:t>
      </w:r>
      <w:r w:rsidR="002319A6" w:rsidRPr="00A573CA">
        <w:t xml:space="preserve"> preference to any person</w:t>
      </w:r>
      <w:r w:rsidR="00D338AF" w:rsidRPr="00A573CA">
        <w:t>, such as a</w:t>
      </w:r>
      <w:r w:rsidR="00646CC2">
        <w:t xml:space="preserve"> regulator</w:t>
      </w:r>
      <w:r w:rsidR="008212D4" w:rsidRPr="00A573CA">
        <w:t>,</w:t>
      </w:r>
      <w:r w:rsidR="00D2686D" w:rsidRPr="00A573CA">
        <w:t xml:space="preserve"> </w:t>
      </w:r>
      <w:r w:rsidR="002319A6" w:rsidRPr="00A573CA">
        <w:t xml:space="preserve">within six months prior to the onset of insolvency, </w:t>
      </w:r>
      <w:r w:rsidR="008A791F">
        <w:t>it</w:t>
      </w:r>
      <w:r w:rsidR="002319A6" w:rsidRPr="00A573CA">
        <w:t xml:space="preserve"> may apply to the court for an order to restore </w:t>
      </w:r>
      <w:r w:rsidR="00010C72" w:rsidRPr="00010C72">
        <w:t xml:space="preserve">the position to what it </w:t>
      </w:r>
      <w:r w:rsidR="00010C72" w:rsidRPr="00010C72">
        <w:lastRenderedPageBreak/>
        <w:t>would have been if the preference</w:t>
      </w:r>
      <w:r w:rsidR="00010C72">
        <w:t xml:space="preserve"> had not been given</w:t>
      </w:r>
      <w:r w:rsidR="002319A6" w:rsidRPr="00A573CA">
        <w:t>.</w:t>
      </w:r>
      <w:r w:rsidR="002319A6" w:rsidRPr="00A573CA">
        <w:rPr>
          <w:vertAlign w:val="superscript"/>
        </w:rPr>
        <w:footnoteReference w:id="191"/>
      </w:r>
      <w:r w:rsidR="002319A6" w:rsidRPr="00A573CA">
        <w:t xml:space="preserve"> </w:t>
      </w:r>
      <w:r w:rsidR="000023CD" w:rsidRPr="00A573CA">
        <w:t xml:space="preserve">Such an order may require the release or discharge </w:t>
      </w:r>
      <w:r w:rsidR="00D338AF" w:rsidRPr="00A573CA">
        <w:t xml:space="preserve">of </w:t>
      </w:r>
      <w:r w:rsidR="000023CD" w:rsidRPr="00A573CA">
        <w:t xml:space="preserve">any security given by the </w:t>
      </w:r>
      <w:r w:rsidR="008F7486" w:rsidRPr="00A573CA">
        <w:t>operator</w:t>
      </w:r>
      <w:r w:rsidR="000023CD" w:rsidRPr="00A573CA">
        <w:t>,</w:t>
      </w:r>
      <w:r w:rsidR="000023CD" w:rsidRPr="00A573CA">
        <w:rPr>
          <w:rStyle w:val="FootnoteReference"/>
        </w:rPr>
        <w:footnoteReference w:id="192"/>
      </w:r>
      <w:r w:rsidR="000023CD" w:rsidRPr="00A573CA">
        <w:t xml:space="preserve"> or require </w:t>
      </w:r>
      <w:r w:rsidR="00FB0731" w:rsidRPr="00A573CA">
        <w:t xml:space="preserve">the repayment of </w:t>
      </w:r>
      <w:r w:rsidR="000023CD" w:rsidRPr="00A573CA">
        <w:t xml:space="preserve">such sums to the </w:t>
      </w:r>
      <w:r w:rsidR="000023CD" w:rsidRPr="00FE2ABA">
        <w:t>liquidator as the court may direct.</w:t>
      </w:r>
      <w:r w:rsidR="000023CD" w:rsidRPr="00FE2ABA">
        <w:rPr>
          <w:rStyle w:val="FootnoteReference"/>
        </w:rPr>
        <w:footnoteReference w:id="193"/>
      </w:r>
      <w:r w:rsidR="000023CD" w:rsidRPr="00FE2ABA">
        <w:t xml:space="preserve"> </w:t>
      </w:r>
      <w:r w:rsidR="00494E3B">
        <w:t xml:space="preserve">In </w:t>
      </w:r>
      <w:r>
        <w:t>these circumstances</w:t>
      </w:r>
      <w:r w:rsidR="0004713A" w:rsidRPr="00FE2ABA">
        <w:t xml:space="preserve">, </w:t>
      </w:r>
      <w:r>
        <w:t>a</w:t>
      </w:r>
      <w:r w:rsidR="0004713A" w:rsidRPr="00FE2ABA">
        <w:t xml:space="preserve"> </w:t>
      </w:r>
      <w:r w:rsidR="00646CC2">
        <w:t>regulator</w:t>
      </w:r>
      <w:r w:rsidR="0004713A" w:rsidRPr="00FE2ABA">
        <w:t xml:space="preserve"> </w:t>
      </w:r>
      <w:r>
        <w:t xml:space="preserve">who was initially successful in recovering their costs </w:t>
      </w:r>
      <w:r w:rsidR="004F78D5" w:rsidRPr="00FE2ABA">
        <w:t>would</w:t>
      </w:r>
      <w:r w:rsidR="00F0642F">
        <w:t xml:space="preserve"> </w:t>
      </w:r>
      <w:r w:rsidR="00100040">
        <w:t>‘</w:t>
      </w:r>
      <w:r w:rsidR="00F0642F">
        <w:t>drop back</w:t>
      </w:r>
      <w:r w:rsidR="00100040">
        <w:t>’</w:t>
      </w:r>
      <w:r>
        <w:t xml:space="preserve"> </w:t>
      </w:r>
      <w:r w:rsidR="00494E3B">
        <w:t>to</w:t>
      </w:r>
      <w:r w:rsidR="004F78D5" w:rsidRPr="00FE2ABA">
        <w:t xml:space="preserve"> become</w:t>
      </w:r>
      <w:r w:rsidR="0004713A" w:rsidRPr="00FE2ABA">
        <w:t xml:space="preserve"> an unsecured</w:t>
      </w:r>
      <w:r w:rsidR="00FE2ABA" w:rsidRPr="00FE2ABA">
        <w:t>, non-preferential</w:t>
      </w:r>
      <w:r w:rsidR="0004713A" w:rsidRPr="00FE2ABA">
        <w:t xml:space="preserve"> cr</w:t>
      </w:r>
      <w:r w:rsidR="00494E3B">
        <w:t xml:space="preserve">editor of </w:t>
      </w:r>
      <w:r w:rsidR="008A791F">
        <w:t>the</w:t>
      </w:r>
      <w:r w:rsidR="00494E3B">
        <w:t xml:space="preserve"> insolvent operator</w:t>
      </w:r>
      <w:r w:rsidR="008A791F">
        <w:t>. Consequently, they would</w:t>
      </w:r>
      <w:r w:rsidR="00061AFC">
        <w:t xml:space="preserve"> be required to compete with</w:t>
      </w:r>
      <w:r w:rsidR="00077B18">
        <w:t xml:space="preserve"> the</w:t>
      </w:r>
      <w:r w:rsidR="00061AFC">
        <w:t xml:space="preserve"> </w:t>
      </w:r>
      <w:r w:rsidR="0004713A" w:rsidRPr="00FE2ABA">
        <w:t>other unsecured creditors</w:t>
      </w:r>
      <w:r w:rsidR="004F78D5" w:rsidRPr="00FE2ABA">
        <w:t xml:space="preserve"> as per the manner </w:t>
      </w:r>
      <w:r w:rsidR="00EC680F">
        <w:t>described above</w:t>
      </w:r>
      <w:r w:rsidR="004F78D5" w:rsidRPr="00FE2ABA">
        <w:t xml:space="preserve"> in </w:t>
      </w:r>
      <w:r w:rsidR="00C032D3">
        <w:t>Scenario 1</w:t>
      </w:r>
      <w:r w:rsidR="004F78D5" w:rsidRPr="00FE2ABA">
        <w:t xml:space="preserve">. </w:t>
      </w:r>
      <w:r w:rsidR="009765CA">
        <w:t xml:space="preserve">As we have seen, </w:t>
      </w:r>
      <w:r w:rsidR="00C93C55">
        <w:t xml:space="preserve">in such circumstances </w:t>
      </w:r>
      <w:r w:rsidR="009765CA">
        <w:t xml:space="preserve">the regulator </w:t>
      </w:r>
      <w:r w:rsidR="00965243">
        <w:t>is likely to</w:t>
      </w:r>
      <w:r w:rsidR="009765CA">
        <w:t xml:space="preserve"> </w:t>
      </w:r>
      <w:r w:rsidR="008A791F">
        <w:t xml:space="preserve">receive </w:t>
      </w:r>
      <w:r w:rsidR="009765CA">
        <w:t xml:space="preserve">only a fraction of the costs </w:t>
      </w:r>
      <w:r w:rsidR="008A791F">
        <w:t xml:space="preserve">to which they </w:t>
      </w:r>
      <w:r w:rsidR="00A30E21">
        <w:t>were</w:t>
      </w:r>
      <w:r w:rsidR="008A791F">
        <w:t xml:space="preserve"> entitled</w:t>
      </w:r>
      <w:r w:rsidR="009765CA">
        <w:t>.</w:t>
      </w:r>
      <w:r w:rsidR="00C93C55">
        <w:t xml:space="preserve"> There is also the prospect of the property to which the environmental liabilities attached being deemed to be </w:t>
      </w:r>
      <w:r w:rsidR="00100040">
        <w:t>‘</w:t>
      </w:r>
      <w:r w:rsidR="00C93C55">
        <w:t>onerous</w:t>
      </w:r>
      <w:r w:rsidR="00100040">
        <w:t>’</w:t>
      </w:r>
      <w:r w:rsidR="00C93C55">
        <w:t xml:space="preserve"> and subsequently disclaimed. </w:t>
      </w:r>
      <w:r w:rsidR="009A6ADE">
        <w:t xml:space="preserve">As </w:t>
      </w:r>
      <w:r w:rsidR="00F0642F">
        <w:t>discussed</w:t>
      </w:r>
      <w:r w:rsidR="009A6ADE">
        <w:t xml:space="preserve"> </w:t>
      </w:r>
      <w:r w:rsidR="00C032D3">
        <w:t>above</w:t>
      </w:r>
      <w:r w:rsidR="009A6ADE" w:rsidRPr="009A6ADE">
        <w:t>, this may have significant implications for the success of the regulator’s cost recovery action</w:t>
      </w:r>
      <w:r w:rsidR="00A30E21">
        <w:t xml:space="preserve"> against a </w:t>
      </w:r>
      <w:r w:rsidR="00E07A11">
        <w:t>self-insuring</w:t>
      </w:r>
      <w:r w:rsidR="00A30E21">
        <w:t xml:space="preserve"> operator</w:t>
      </w:r>
      <w:r w:rsidR="009A6ADE" w:rsidRPr="009A6ADE">
        <w:t xml:space="preserve">. </w:t>
      </w:r>
      <w:r w:rsidR="00C93C55" w:rsidRPr="009A6ADE">
        <w:t xml:space="preserve"> </w:t>
      </w:r>
    </w:p>
    <w:p w:rsidR="008A791F" w:rsidRDefault="00D45978" w:rsidP="00A34674">
      <w:pPr>
        <w:pStyle w:val="PhDParagraph"/>
      </w:pPr>
      <w:r>
        <w:t xml:space="preserve">An essential component of section 239 is that </w:t>
      </w:r>
      <w:r w:rsidRPr="00293BB7">
        <w:t>the operator must have been influenced in deciding to give the preference by a ‘desire’ to put the regulator into a better position than it would, ordinarily, have been.</w:t>
      </w:r>
      <w:r w:rsidRPr="00293BB7">
        <w:rPr>
          <w:rStyle w:val="FootnoteReference"/>
        </w:rPr>
        <w:footnoteReference w:id="194"/>
      </w:r>
      <w:r>
        <w:t xml:space="preserve"> In other words</w:t>
      </w:r>
      <w:r w:rsidRPr="00293BB7">
        <w:t>, the operator must have ‘positively wished’ to improve the regulator’s position in the event of its own insolvent liquidation.</w:t>
      </w:r>
      <w:r w:rsidRPr="00293BB7">
        <w:rPr>
          <w:vertAlign w:val="superscript"/>
        </w:rPr>
        <w:footnoteReference w:id="195"/>
      </w:r>
      <w:r>
        <w:t xml:space="preserve"> </w:t>
      </w:r>
      <w:r w:rsidR="003C32C7" w:rsidRPr="00A573CA">
        <w:t>It is</w:t>
      </w:r>
      <w:r w:rsidR="00A34674">
        <w:t>, thus,</w:t>
      </w:r>
      <w:r w:rsidR="00320109">
        <w:t xml:space="preserve"> </w:t>
      </w:r>
      <w:r w:rsidR="00A34674">
        <w:t>in</w:t>
      </w:r>
      <w:r w:rsidR="003C32C7" w:rsidRPr="00A573CA">
        <w:t xml:space="preserve">sufficient merely </w:t>
      </w:r>
      <w:r w:rsidR="00B34F4A" w:rsidRPr="00A573CA">
        <w:t xml:space="preserve">to </w:t>
      </w:r>
      <w:r w:rsidR="003C32C7" w:rsidRPr="00A573CA">
        <w:t xml:space="preserve">establish </w:t>
      </w:r>
      <w:r w:rsidR="00DB39B1" w:rsidRPr="00A573CA">
        <w:t>the mere presence of</w:t>
      </w:r>
      <w:r w:rsidR="003C32C7" w:rsidRPr="00A573CA">
        <w:t xml:space="preserve"> </w:t>
      </w:r>
      <w:r w:rsidR="00C435C6">
        <w:t xml:space="preserve">a </w:t>
      </w:r>
      <w:r w:rsidR="003C32C7" w:rsidRPr="00A573CA">
        <w:t xml:space="preserve">desire to make the payment or grant the security which </w:t>
      </w:r>
      <w:r w:rsidR="001D5633" w:rsidRPr="00A573CA">
        <w:t>is</w:t>
      </w:r>
      <w:r w:rsidR="003C32C7" w:rsidRPr="00A573CA">
        <w:t xml:space="preserve"> sought to </w:t>
      </w:r>
      <w:r w:rsidR="001D5633" w:rsidRPr="00A573CA">
        <w:t xml:space="preserve">be </w:t>
      </w:r>
      <w:r w:rsidR="003C32C7" w:rsidRPr="00A573CA">
        <w:t>avoid</w:t>
      </w:r>
      <w:r w:rsidR="001D5633" w:rsidRPr="00A573CA">
        <w:t>ed</w:t>
      </w:r>
      <w:r w:rsidR="003C32C7" w:rsidRPr="00A573CA">
        <w:t xml:space="preserve"> under s</w:t>
      </w:r>
      <w:r w:rsidR="00B55428">
        <w:t>ection</w:t>
      </w:r>
      <w:r w:rsidR="003C32C7" w:rsidRPr="00A573CA">
        <w:t xml:space="preserve"> 239.</w:t>
      </w:r>
      <w:r w:rsidR="003C32C7" w:rsidRPr="00A573CA">
        <w:rPr>
          <w:rStyle w:val="FootnoteReference"/>
        </w:rPr>
        <w:footnoteReference w:id="196"/>
      </w:r>
      <w:r w:rsidR="003C32C7" w:rsidRPr="00A573CA">
        <w:t xml:space="preserve"> </w:t>
      </w:r>
      <w:r w:rsidR="00A34674">
        <w:t xml:space="preserve"> The requisite desire is to be viewed subjectively.</w:t>
      </w:r>
      <w:r w:rsidR="00A34674" w:rsidRPr="00293BB7">
        <w:rPr>
          <w:rStyle w:val="FootnoteReference"/>
        </w:rPr>
        <w:footnoteReference w:id="197"/>
      </w:r>
      <w:r w:rsidR="00A34674">
        <w:t xml:space="preserve"> It</w:t>
      </w:r>
      <w:r w:rsidR="00A34674" w:rsidRPr="00293BB7">
        <w:t xml:space="preserve"> must have influenced the</w:t>
      </w:r>
      <w:r w:rsidR="00A34674">
        <w:t xml:space="preserve"> operator’s</w:t>
      </w:r>
      <w:r w:rsidR="00A34674" w:rsidRPr="00293BB7">
        <w:t xml:space="preserve"> decision to </w:t>
      </w:r>
      <w:r w:rsidR="00A34674">
        <w:t>pay</w:t>
      </w:r>
      <w:r w:rsidR="00A34674" w:rsidRPr="00DA668A">
        <w:t xml:space="preserve"> </w:t>
      </w:r>
      <w:r w:rsidR="00A34674">
        <w:t>the amount</w:t>
      </w:r>
      <w:r w:rsidR="00A34674" w:rsidRPr="00DA668A">
        <w:t xml:space="preserve"> or </w:t>
      </w:r>
      <w:r w:rsidR="00A34674">
        <w:t xml:space="preserve">allow </w:t>
      </w:r>
      <w:r w:rsidR="00A34674" w:rsidRPr="00DA668A">
        <w:t>secur</w:t>
      </w:r>
      <w:r w:rsidR="00A34674">
        <w:t xml:space="preserve">ity to be taken over its assets </w:t>
      </w:r>
      <w:r w:rsidR="00A34674" w:rsidRPr="00293BB7">
        <w:t>through being one of the factors which operated on the minds of those who made the decision; it need not have been the</w:t>
      </w:r>
      <w:r w:rsidR="00A34674">
        <w:t xml:space="preserve"> only or even</w:t>
      </w:r>
      <w:r w:rsidR="00A34674" w:rsidRPr="00293BB7">
        <w:t xml:space="preserve"> </w:t>
      </w:r>
      <w:r w:rsidR="00A34674">
        <w:t xml:space="preserve">the </w:t>
      </w:r>
      <w:r w:rsidR="00A34674" w:rsidRPr="00293BB7">
        <w:t>decisive one.</w:t>
      </w:r>
      <w:r w:rsidR="00A34674" w:rsidRPr="00293BB7">
        <w:rPr>
          <w:rStyle w:val="FootnoteReference"/>
        </w:rPr>
        <w:footnoteReference w:id="198"/>
      </w:r>
      <w:r w:rsidR="00A34674" w:rsidRPr="00293BB7">
        <w:t xml:space="preserve"> </w:t>
      </w:r>
      <w:r w:rsidR="00A34674" w:rsidRPr="00A573CA">
        <w:t xml:space="preserve">The operator’s motive in making the payment or </w:t>
      </w:r>
      <w:r w:rsidR="00A34674" w:rsidRPr="00A573CA">
        <w:lastRenderedPageBreak/>
        <w:t>agreeing to security being taken will</w:t>
      </w:r>
      <w:r w:rsidR="00A34674">
        <w:t xml:space="preserve">, therefore, </w:t>
      </w:r>
      <w:r w:rsidR="00A34674" w:rsidRPr="00A573CA">
        <w:t xml:space="preserve">be of central importance </w:t>
      </w:r>
      <w:r w:rsidR="00A34674">
        <w:t xml:space="preserve">in the determination </w:t>
      </w:r>
      <w:r w:rsidR="00A23717">
        <w:t xml:space="preserve">by the court </w:t>
      </w:r>
      <w:r w:rsidR="00A34674">
        <w:t>as</w:t>
      </w:r>
      <w:r w:rsidR="00A34674" w:rsidRPr="00A573CA">
        <w:t xml:space="preserve"> to whether there has been a preference.</w:t>
      </w:r>
      <w:r w:rsidR="00A34674" w:rsidRPr="00A573CA">
        <w:rPr>
          <w:rStyle w:val="FootnoteReference"/>
        </w:rPr>
        <w:footnoteReference w:id="199"/>
      </w:r>
      <w:r w:rsidR="00A34674" w:rsidRPr="00A573CA">
        <w:t xml:space="preserve"> </w:t>
      </w:r>
      <w:r w:rsidR="005B0B2F">
        <w:t>The potential difficulty in</w:t>
      </w:r>
      <w:r w:rsidR="00C435C6">
        <w:t xml:space="preserve"> e</w:t>
      </w:r>
      <w:r w:rsidR="00345298" w:rsidRPr="00A573CA">
        <w:t>stablishing motive</w:t>
      </w:r>
      <w:r w:rsidR="008167C7" w:rsidRPr="00A573CA">
        <w:t xml:space="preserve"> </w:t>
      </w:r>
      <w:r w:rsidR="005B0B2F">
        <w:t>is alleviated somewhat from the fact</w:t>
      </w:r>
      <w:r w:rsidR="00345298" w:rsidRPr="00A573CA">
        <w:t xml:space="preserve"> </w:t>
      </w:r>
      <w:r w:rsidR="005B0B2F">
        <w:t xml:space="preserve">that there is </w:t>
      </w:r>
      <w:r w:rsidR="005B0B2F" w:rsidRPr="00A573CA">
        <w:t>no need for direct evidence of the requisite desire</w:t>
      </w:r>
      <w:r w:rsidR="005B0B2F">
        <w:t>;</w:t>
      </w:r>
      <w:r w:rsidR="005B0B2F" w:rsidRPr="00A573CA">
        <w:t xml:space="preserve"> </w:t>
      </w:r>
      <w:r w:rsidR="00345298" w:rsidRPr="00A573CA">
        <w:t xml:space="preserve">it </w:t>
      </w:r>
      <w:r w:rsidR="00B93B2B" w:rsidRPr="00A573CA">
        <w:t xml:space="preserve">may be </w:t>
      </w:r>
      <w:r w:rsidR="00C435C6">
        <w:t>inferred from the circumstances</w:t>
      </w:r>
      <w:r w:rsidR="005B0B2F">
        <w:t xml:space="preserve"> of the case</w:t>
      </w:r>
      <w:r w:rsidR="00345298" w:rsidRPr="00A573CA">
        <w:t>.</w:t>
      </w:r>
      <w:r w:rsidR="00B93B2B" w:rsidRPr="00A573CA">
        <w:rPr>
          <w:rStyle w:val="FootnoteReference"/>
        </w:rPr>
        <w:footnoteReference w:id="200"/>
      </w:r>
      <w:r w:rsidR="007C235B" w:rsidRPr="00A573CA">
        <w:t xml:space="preserve"> </w:t>
      </w:r>
    </w:p>
    <w:p w:rsidR="00EB3ADB" w:rsidRDefault="008F7486" w:rsidP="007A5F6A">
      <w:pPr>
        <w:pStyle w:val="PhDParagraph"/>
      </w:pPr>
      <w:r w:rsidRPr="00A573CA">
        <w:t xml:space="preserve">In the absence of </w:t>
      </w:r>
      <w:r w:rsidR="00BA4001" w:rsidRPr="00A573CA">
        <w:t>authority</w:t>
      </w:r>
      <w:r w:rsidRPr="00A573CA">
        <w:t xml:space="preserve"> directly </w:t>
      </w:r>
      <w:r w:rsidR="00BA4001" w:rsidRPr="00A573CA">
        <w:t xml:space="preserve">on </w:t>
      </w:r>
      <w:r w:rsidRPr="00A573CA">
        <w:t xml:space="preserve">point, </w:t>
      </w:r>
      <w:r w:rsidR="00BA4001" w:rsidRPr="00A573CA">
        <w:t>one can only speculate as to</w:t>
      </w:r>
      <w:r w:rsidR="008A791F">
        <w:t xml:space="preserve"> the</w:t>
      </w:r>
      <w:r w:rsidR="00BA4001" w:rsidRPr="00A573CA">
        <w:t xml:space="preserve"> factual circumstances upon which</w:t>
      </w:r>
      <w:r w:rsidRPr="00A573CA">
        <w:t xml:space="preserve"> the requisite</w:t>
      </w:r>
      <w:r w:rsidR="007C235B" w:rsidRPr="00A573CA">
        <w:t xml:space="preserve"> desire </w:t>
      </w:r>
      <w:r w:rsidRPr="00A573CA">
        <w:t>could be</w:t>
      </w:r>
      <w:r w:rsidR="007C235B" w:rsidRPr="00A573CA">
        <w:t xml:space="preserve"> </w:t>
      </w:r>
      <w:r w:rsidR="007C235B" w:rsidRPr="00A3633F">
        <w:t>inferred</w:t>
      </w:r>
      <w:r w:rsidR="00A34A4C">
        <w:t xml:space="preserve"> in the circumstances of </w:t>
      </w:r>
      <w:r w:rsidR="00A23717">
        <w:t>Scenario 3</w:t>
      </w:r>
      <w:r w:rsidR="00BA4001" w:rsidRPr="00A3633F">
        <w:t xml:space="preserve">. Could it </w:t>
      </w:r>
      <w:r w:rsidR="00A3633F" w:rsidRPr="00A3633F">
        <w:t xml:space="preserve">perhaps be </w:t>
      </w:r>
      <w:r w:rsidR="00BA4001" w:rsidRPr="00A3633F">
        <w:t xml:space="preserve">inferred from </w:t>
      </w:r>
      <w:r w:rsidR="007C235B" w:rsidRPr="00A3633F">
        <w:t xml:space="preserve">a situation where </w:t>
      </w:r>
      <w:r w:rsidRPr="00A3633F">
        <w:t>a parent company</w:t>
      </w:r>
      <w:r w:rsidR="00A3633F" w:rsidRPr="00A3633F">
        <w:t>, which control</w:t>
      </w:r>
      <w:r w:rsidR="00EB3ADB">
        <w:t>led</w:t>
      </w:r>
      <w:r w:rsidR="00A3633F" w:rsidRPr="00A3633F">
        <w:t xml:space="preserve"> </w:t>
      </w:r>
      <w:r w:rsidR="0004713A">
        <w:t>a number of</w:t>
      </w:r>
      <w:r w:rsidR="007C235B" w:rsidRPr="00A3633F">
        <w:t xml:space="preserve"> </w:t>
      </w:r>
      <w:r w:rsidRPr="00A3633F">
        <w:t>subsidiar</w:t>
      </w:r>
      <w:r w:rsidR="00C435C6">
        <w:t>ies</w:t>
      </w:r>
      <w:r w:rsidR="007C235B" w:rsidRPr="00A3633F">
        <w:t xml:space="preserve"> </w:t>
      </w:r>
      <w:r w:rsidR="00A3633F" w:rsidRPr="00A3633F">
        <w:t xml:space="preserve">operating </w:t>
      </w:r>
      <w:r w:rsidR="007C235B" w:rsidRPr="00A3633F">
        <w:t xml:space="preserve">within </w:t>
      </w:r>
      <w:r w:rsidR="008A791F">
        <w:t>the jurisdiction of the regulator</w:t>
      </w:r>
      <w:r w:rsidR="007C235B" w:rsidRPr="00A3633F">
        <w:t xml:space="preserve">, </w:t>
      </w:r>
      <w:r w:rsidRPr="00A3633F">
        <w:t>ensure</w:t>
      </w:r>
      <w:r w:rsidR="00EB3ADB">
        <w:t>d</w:t>
      </w:r>
      <w:r w:rsidRPr="00A3633F">
        <w:t xml:space="preserve"> that a subsidiary which </w:t>
      </w:r>
      <w:r w:rsidR="002A67B4">
        <w:t>had</w:t>
      </w:r>
      <w:r w:rsidR="003E5300">
        <w:t xml:space="preserve"> </w:t>
      </w:r>
      <w:r w:rsidRPr="00A3633F">
        <w:t>cause</w:t>
      </w:r>
      <w:r w:rsidR="003E5300">
        <w:t>d</w:t>
      </w:r>
      <w:r w:rsidRPr="00A3633F">
        <w:t xml:space="preserve"> environmental damage </w:t>
      </w:r>
      <w:r w:rsidR="00EB3ADB">
        <w:t>paid</w:t>
      </w:r>
      <w:r w:rsidRPr="00A3633F">
        <w:t xml:space="preserve"> the</w:t>
      </w:r>
      <w:r w:rsidR="007C235B" w:rsidRPr="00A3633F">
        <w:t xml:space="preserve"> </w:t>
      </w:r>
      <w:r w:rsidR="00BA4001" w:rsidRPr="00A3633F">
        <w:t>requisite</w:t>
      </w:r>
      <w:r w:rsidR="007C235B" w:rsidRPr="00A3633F">
        <w:t xml:space="preserve"> </w:t>
      </w:r>
      <w:r w:rsidR="00A3633F" w:rsidRPr="00A3633F">
        <w:t xml:space="preserve">remediation </w:t>
      </w:r>
      <w:r w:rsidR="007C235B" w:rsidRPr="00A3633F">
        <w:t xml:space="preserve">costs </w:t>
      </w:r>
      <w:r w:rsidR="0004713A">
        <w:t xml:space="preserve">so that </w:t>
      </w:r>
      <w:r w:rsidRPr="00A3633F">
        <w:t xml:space="preserve">a positive working relationship </w:t>
      </w:r>
      <w:r w:rsidR="002A67B4">
        <w:t xml:space="preserve">with the regulator </w:t>
      </w:r>
      <w:r w:rsidR="00EB3ADB">
        <w:t>could</w:t>
      </w:r>
      <w:r w:rsidR="0006410E">
        <w:t xml:space="preserve"> be maintained</w:t>
      </w:r>
      <w:r w:rsidR="00BA4001" w:rsidRPr="00A3633F">
        <w:t>?</w:t>
      </w:r>
      <w:r w:rsidR="004463C4">
        <w:t xml:space="preserve"> </w:t>
      </w:r>
      <w:r w:rsidR="003E5300">
        <w:t>Or</w:t>
      </w:r>
      <w:r w:rsidR="008A791F">
        <w:t xml:space="preserve"> </w:t>
      </w:r>
      <w:r w:rsidR="004463C4">
        <w:t xml:space="preserve">where </w:t>
      </w:r>
      <w:r w:rsidR="008A791F">
        <w:t>an</w:t>
      </w:r>
      <w:r w:rsidR="004463C4">
        <w:t xml:space="preserve"> operator made </w:t>
      </w:r>
      <w:r w:rsidR="00753D2D">
        <w:t>the</w:t>
      </w:r>
      <w:r w:rsidR="004463C4">
        <w:t xml:space="preserve"> payment </w:t>
      </w:r>
      <w:r w:rsidR="003E5300">
        <w:t>challenged in order to</w:t>
      </w:r>
      <w:r w:rsidR="004463C4">
        <w:t xml:space="preserve"> avoid aggravating </w:t>
      </w:r>
      <w:r w:rsidR="000E2AD1">
        <w:t xml:space="preserve">the regulator </w:t>
      </w:r>
      <w:r w:rsidR="004463C4">
        <w:t>should a new permit, or variation to it, be required in the future</w:t>
      </w:r>
      <w:r w:rsidR="008A791F">
        <w:t>?</w:t>
      </w:r>
      <w:r w:rsidR="008A791F" w:rsidRPr="008A791F">
        <w:t xml:space="preserve"> </w:t>
      </w:r>
      <w:r w:rsidR="00A14397">
        <w:t>M</w:t>
      </w:r>
      <w:r w:rsidR="00B374C5">
        <w:t xml:space="preserve">ore controversially, </w:t>
      </w:r>
      <w:r w:rsidR="00E10F03">
        <w:t xml:space="preserve">could it be inferred </w:t>
      </w:r>
      <w:r w:rsidR="00B374C5">
        <w:t xml:space="preserve">from a </w:t>
      </w:r>
      <w:r w:rsidR="003E5300">
        <w:t>wish</w:t>
      </w:r>
      <w:r w:rsidR="00F0642F">
        <w:t xml:space="preserve"> by the operator </w:t>
      </w:r>
      <w:r w:rsidR="00A14397">
        <w:t xml:space="preserve">who, perhaps, felt compelled by a moral responsibility </w:t>
      </w:r>
      <w:r w:rsidR="00F0642F">
        <w:t xml:space="preserve">to </w:t>
      </w:r>
      <w:r w:rsidR="0006410E">
        <w:t>‘</w:t>
      </w:r>
      <w:r w:rsidR="00B374C5">
        <w:t xml:space="preserve">do the right </w:t>
      </w:r>
      <w:r w:rsidR="00F0642F">
        <w:t>thing</w:t>
      </w:r>
      <w:r w:rsidR="0006410E">
        <w:t>’</w:t>
      </w:r>
      <w:r w:rsidR="00B374C5">
        <w:t xml:space="preserve"> and pay the regulator in full even if this meant that some unsecured creditors would not be paid at all? It would</w:t>
      </w:r>
      <w:r w:rsidR="003E5300">
        <w:t xml:space="preserve"> </w:t>
      </w:r>
      <w:r w:rsidR="00F0642F">
        <w:t xml:space="preserve">be ironic if </w:t>
      </w:r>
      <w:r w:rsidR="006A653E">
        <w:t>an</w:t>
      </w:r>
      <w:r w:rsidR="00F0642F">
        <w:t xml:space="preserve"> </w:t>
      </w:r>
      <w:r w:rsidR="0006410E">
        <w:t>‘</w:t>
      </w:r>
      <w:r w:rsidR="00F0642F">
        <w:t>environmental conscience</w:t>
      </w:r>
      <w:r w:rsidR="0006410E">
        <w:t>’</w:t>
      </w:r>
      <w:r w:rsidR="00B374C5">
        <w:t xml:space="preserve"> and willingness </w:t>
      </w:r>
      <w:r w:rsidR="00753D2D">
        <w:t xml:space="preserve">of the responsible polluter to </w:t>
      </w:r>
      <w:r w:rsidR="00B374C5">
        <w:t xml:space="preserve">pay for the damage </w:t>
      </w:r>
      <w:r w:rsidR="00801B6E">
        <w:t>it had</w:t>
      </w:r>
      <w:r w:rsidR="0006410E">
        <w:t xml:space="preserve"> </w:t>
      </w:r>
      <w:r w:rsidR="00753D2D">
        <w:t>caused</w:t>
      </w:r>
      <w:r w:rsidR="00B374C5">
        <w:t xml:space="preserve"> resulted in the payment being challenged successfully as a preference. </w:t>
      </w:r>
      <w:r w:rsidR="0021465F">
        <w:t>Nevertheless,</w:t>
      </w:r>
      <w:r w:rsidR="008A791F">
        <w:t xml:space="preserve"> </w:t>
      </w:r>
      <w:r w:rsidR="0021465F">
        <w:t xml:space="preserve">the </w:t>
      </w:r>
      <w:r w:rsidR="008A791F">
        <w:t xml:space="preserve">situations </w:t>
      </w:r>
      <w:r w:rsidR="0021465F">
        <w:t xml:space="preserve">detailed here </w:t>
      </w:r>
      <w:r w:rsidR="008A791F">
        <w:t>would seem to be captured by s</w:t>
      </w:r>
      <w:r w:rsidR="00B55428">
        <w:t>ection</w:t>
      </w:r>
      <w:r w:rsidR="008A791F">
        <w:t xml:space="preserve"> 239</w:t>
      </w:r>
      <w:r w:rsidR="0006410E">
        <w:t>.</w:t>
      </w:r>
      <w:r w:rsidR="00EB3ADB">
        <w:t xml:space="preserve"> </w:t>
      </w:r>
      <w:r w:rsidR="00EB3ADB" w:rsidRPr="00A3259B">
        <w:t>It is</w:t>
      </w:r>
      <w:r w:rsidR="00EB3ADB">
        <w:t>, however,</w:t>
      </w:r>
      <w:r w:rsidR="00EB3ADB" w:rsidRPr="00A3259B">
        <w:t xml:space="preserve"> important to note that where a charge </w:t>
      </w:r>
      <w:r w:rsidR="00EB3ADB">
        <w:t>is taken</w:t>
      </w:r>
      <w:r w:rsidR="00EB3ADB" w:rsidRPr="00A3259B">
        <w:t xml:space="preserve"> </w:t>
      </w:r>
      <w:r w:rsidR="00EB3ADB">
        <w:t xml:space="preserve">over premises by the regulator as per the manner set out in </w:t>
      </w:r>
      <w:r w:rsidR="00EB3ADB" w:rsidRPr="00A3259B">
        <w:t xml:space="preserve">the </w:t>
      </w:r>
      <w:r w:rsidR="00EB3ADB">
        <w:t>EDR</w:t>
      </w:r>
      <w:r w:rsidR="00EB3ADB" w:rsidRPr="00A3259B">
        <w:t xml:space="preserve"> and the Welsh Regulation</w:t>
      </w:r>
      <w:r w:rsidR="00EB3ADB">
        <w:t>s</w:t>
      </w:r>
      <w:r w:rsidR="00EB3ADB" w:rsidRPr="00A3259B">
        <w:t>,</w:t>
      </w:r>
      <w:r w:rsidR="00EB3ADB">
        <w:rPr>
          <w:rStyle w:val="FootnoteReference"/>
        </w:rPr>
        <w:footnoteReference w:id="201"/>
      </w:r>
      <w:r w:rsidR="00EB3ADB" w:rsidRPr="00A3259B">
        <w:t xml:space="preserve"> the oper</w:t>
      </w:r>
      <w:r w:rsidR="00EB3ADB">
        <w:t>ator may not be seen as having ‘given’</w:t>
      </w:r>
      <w:r w:rsidR="00EB3ADB" w:rsidRPr="00A3259B">
        <w:t xml:space="preserve"> the charge. Such a charge would, therefore, not seem capable of amounting to a preference. Again, this demonstrates the strength of the statutory charge as a measure to improve the remedial capacity of </w:t>
      </w:r>
      <w:r w:rsidR="00EB3ADB" w:rsidRPr="00E07A11">
        <w:t>self-insurance</w:t>
      </w:r>
      <w:r w:rsidR="00EB3ADB" w:rsidRPr="00A3259B">
        <w:t>.</w:t>
      </w:r>
    </w:p>
    <w:p w:rsidR="00346681" w:rsidRDefault="00F84701" w:rsidP="00EB3ADB">
      <w:pPr>
        <w:pStyle w:val="PhDParagraphnoIdent"/>
        <w:ind w:firstLine="709"/>
      </w:pPr>
      <w:r w:rsidRPr="0043641A">
        <w:t>It</w:t>
      </w:r>
      <w:r w:rsidR="007C5115" w:rsidRPr="0043641A">
        <w:t xml:space="preserve"> </w:t>
      </w:r>
      <w:r w:rsidR="00EB3ADB">
        <w:t>would</w:t>
      </w:r>
      <w:r w:rsidRPr="0043641A">
        <w:t xml:space="preserve">, however, </w:t>
      </w:r>
      <w:r w:rsidR="00EB3ADB">
        <w:t xml:space="preserve">seem to be </w:t>
      </w:r>
      <w:r w:rsidRPr="0043641A">
        <w:t xml:space="preserve">possible to counter the prospect of the factual circumstances in </w:t>
      </w:r>
      <w:r w:rsidR="00EB3ADB">
        <w:t>S</w:t>
      </w:r>
      <w:r w:rsidRPr="0043641A">
        <w:t xml:space="preserve">cenario </w:t>
      </w:r>
      <w:r w:rsidR="00EB3ADB">
        <w:t xml:space="preserve">3 </w:t>
      </w:r>
      <w:r w:rsidRPr="0043641A">
        <w:t>amounting to a preference</w:t>
      </w:r>
      <w:r w:rsidR="00EB3ADB">
        <w:t xml:space="preserve"> if it could be demonstrated that the </w:t>
      </w:r>
      <w:r w:rsidR="00EB3ADB">
        <w:lastRenderedPageBreak/>
        <w:t xml:space="preserve">operator had not </w:t>
      </w:r>
      <w:r w:rsidR="00EB3ADB" w:rsidRPr="00EB3ADB">
        <w:t>‘positively wished’ to improve the regulator’s position</w:t>
      </w:r>
      <w:r w:rsidR="00EB3ADB">
        <w:t>.</w:t>
      </w:r>
      <w:r w:rsidR="00EB3ADB" w:rsidRPr="00EB3ADB">
        <w:t xml:space="preserve"> </w:t>
      </w:r>
      <w:r w:rsidR="00346681" w:rsidRPr="0043641A">
        <w:t xml:space="preserve">The decision in </w:t>
      </w:r>
      <w:r w:rsidR="00346681" w:rsidRPr="0043641A">
        <w:rPr>
          <w:i/>
        </w:rPr>
        <w:t>Re Fairway Magazines Ltd</w:t>
      </w:r>
      <w:r w:rsidR="00346681" w:rsidRPr="0043641A">
        <w:rPr>
          <w:rStyle w:val="FootnoteReference"/>
        </w:rPr>
        <w:footnoteReference w:id="202"/>
      </w:r>
      <w:r w:rsidR="00346681" w:rsidRPr="0043641A">
        <w:t xml:space="preserve"> </w:t>
      </w:r>
      <w:r w:rsidR="00A34674">
        <w:t>illustrates</w:t>
      </w:r>
      <w:r w:rsidR="00112A75" w:rsidRPr="0043641A">
        <w:t xml:space="preserve"> </w:t>
      </w:r>
      <w:r w:rsidR="00A34674">
        <w:t>a situation</w:t>
      </w:r>
      <w:r w:rsidR="00112A75" w:rsidRPr="0043641A">
        <w:t xml:space="preserve"> </w:t>
      </w:r>
      <w:r w:rsidR="0043641A">
        <w:t xml:space="preserve">where security </w:t>
      </w:r>
      <w:r w:rsidR="00A16470">
        <w:t xml:space="preserve">granted close to the onset of insolvency </w:t>
      </w:r>
      <w:r w:rsidR="0043641A">
        <w:t>may be found to be valid</w:t>
      </w:r>
      <w:r w:rsidR="0043641A" w:rsidRPr="0043641A">
        <w:t>.</w:t>
      </w:r>
      <w:r w:rsidR="00346681" w:rsidRPr="0043641A">
        <w:t xml:space="preserve"> </w:t>
      </w:r>
      <w:r w:rsidR="0043641A">
        <w:t>There, a</w:t>
      </w:r>
      <w:r w:rsidR="00346681" w:rsidRPr="0043641A">
        <w:t xml:space="preserve"> director entered into a written loan agreement </w:t>
      </w:r>
      <w:r w:rsidR="00F12103">
        <w:t>to advance funds to the company</w:t>
      </w:r>
      <w:r w:rsidR="0043641A">
        <w:t>, the aim being to</w:t>
      </w:r>
      <w:r w:rsidR="00346681">
        <w:t xml:space="preserve"> rescue </w:t>
      </w:r>
      <w:r w:rsidR="008914A9">
        <w:t>it</w:t>
      </w:r>
      <w:r w:rsidR="00346681">
        <w:t xml:space="preserve"> from financial difficulties. </w:t>
      </w:r>
      <w:r w:rsidR="00C22453">
        <w:t>The director entered in to the agreement on</w:t>
      </w:r>
      <w:r w:rsidR="00A16470">
        <w:t xml:space="preserve"> the basis of a promise by the company to grant</w:t>
      </w:r>
      <w:r w:rsidR="00C22453">
        <w:t xml:space="preserve"> him</w:t>
      </w:r>
      <w:r w:rsidR="00A16470">
        <w:t xml:space="preserve"> a debenture securing the sums advanced. The company later fulfilled this promise but</w:t>
      </w:r>
      <w:r w:rsidR="00346681">
        <w:t xml:space="preserve"> as </w:t>
      </w:r>
      <w:r w:rsidR="00EB7B4F">
        <w:t>it</w:t>
      </w:r>
      <w:r w:rsidR="00346681">
        <w:t xml:space="preserve"> was </w:t>
      </w:r>
      <w:r w:rsidR="008914A9">
        <w:t>granted</w:t>
      </w:r>
      <w:r w:rsidR="00346681">
        <w:t xml:space="preserve"> </w:t>
      </w:r>
      <w:r w:rsidR="00346681" w:rsidRPr="00DB3B26">
        <w:t>five months before the company went into creditors’ voluntary liquidatio</w:t>
      </w:r>
      <w:r w:rsidR="00346681">
        <w:t xml:space="preserve">n the liquidator challenged it </w:t>
      </w:r>
      <w:r w:rsidR="00F12103">
        <w:t>under section 239</w:t>
      </w:r>
      <w:r w:rsidR="00346681" w:rsidRPr="00293BB7">
        <w:t>.</w:t>
      </w:r>
      <w:r w:rsidR="00346681">
        <w:t xml:space="preserve"> </w:t>
      </w:r>
      <w:r w:rsidR="00346681" w:rsidRPr="00293BB7">
        <w:t xml:space="preserve">Mummery J </w:t>
      </w:r>
      <w:r w:rsidR="00346681">
        <w:t>found</w:t>
      </w:r>
      <w:r w:rsidR="00346681" w:rsidRPr="00293BB7">
        <w:t xml:space="preserve"> </w:t>
      </w:r>
      <w:r w:rsidR="00346681">
        <w:t>the debenture to be secured</w:t>
      </w:r>
      <w:r w:rsidR="00346681" w:rsidRPr="006F584C">
        <w:t xml:space="preserve"> </w:t>
      </w:r>
      <w:r w:rsidR="00346681">
        <w:t>validly. He held that in granting the debenture</w:t>
      </w:r>
      <w:r w:rsidR="00346681" w:rsidRPr="0064648D">
        <w:t xml:space="preserve"> </w:t>
      </w:r>
      <w:r w:rsidR="00346681" w:rsidRPr="00293BB7">
        <w:t xml:space="preserve">the company was influenced by </w:t>
      </w:r>
      <w:r w:rsidR="00346681">
        <w:t>‘</w:t>
      </w:r>
      <w:r w:rsidR="00DA3AD3">
        <w:t>...</w:t>
      </w:r>
      <w:r w:rsidR="00346681" w:rsidRPr="00293BB7">
        <w:t>proper commercial considerations</w:t>
      </w:r>
      <w:r w:rsidR="00DA3AD3">
        <w:t>...</w:t>
      </w:r>
      <w:r w:rsidR="00346681">
        <w:t>’</w:t>
      </w:r>
      <w:r w:rsidR="00346681" w:rsidRPr="00293BB7">
        <w:t xml:space="preserve"> and not by a positive wish to improve the creditor-director’s position in the event of its insolvent liquidation.</w:t>
      </w:r>
      <w:r w:rsidR="00346681" w:rsidRPr="00293BB7">
        <w:rPr>
          <w:rStyle w:val="FootnoteReference"/>
        </w:rPr>
        <w:footnoteReference w:id="203"/>
      </w:r>
      <w:r w:rsidR="00346681" w:rsidRPr="00293BB7">
        <w:t xml:space="preserve"> </w:t>
      </w:r>
      <w:r w:rsidR="00346681">
        <w:t>It had been provided in order to</w:t>
      </w:r>
      <w:r w:rsidR="00346681" w:rsidRPr="00002160">
        <w:t xml:space="preserve"> raise money from </w:t>
      </w:r>
      <w:r w:rsidR="00346681">
        <w:t>a</w:t>
      </w:r>
      <w:r w:rsidR="00346681" w:rsidRPr="00002160">
        <w:t xml:space="preserve"> source other than the ban</w:t>
      </w:r>
      <w:r w:rsidR="00346681">
        <w:t>k</w:t>
      </w:r>
      <w:r w:rsidR="00346681" w:rsidRPr="00002160">
        <w:t xml:space="preserve"> which had limit</w:t>
      </w:r>
      <w:r w:rsidR="00346681">
        <w:t>ed</w:t>
      </w:r>
      <w:r w:rsidR="00346681" w:rsidRPr="00002160">
        <w:t xml:space="preserve"> the </w:t>
      </w:r>
      <w:r w:rsidR="00346681">
        <w:t xml:space="preserve">company’s </w:t>
      </w:r>
      <w:r w:rsidR="00346681" w:rsidRPr="00002160">
        <w:t>overdraft</w:t>
      </w:r>
      <w:r w:rsidR="00346681">
        <w:t xml:space="preserve"> facility. </w:t>
      </w:r>
    </w:p>
    <w:p w:rsidR="00EB7B4F" w:rsidRPr="00A573CA" w:rsidRDefault="00F84701" w:rsidP="00EB7B4F">
      <w:pPr>
        <w:pStyle w:val="PhDParagraphnoIdent"/>
        <w:ind w:firstLine="709"/>
      </w:pPr>
      <w:r w:rsidRPr="00A573CA">
        <w:t xml:space="preserve">In applying </w:t>
      </w:r>
      <w:r w:rsidR="00346681">
        <w:t>the</w:t>
      </w:r>
      <w:r w:rsidRPr="00A573CA">
        <w:t xml:space="preserve"> logic</w:t>
      </w:r>
      <w:r w:rsidR="00346681">
        <w:t xml:space="preserve"> of </w:t>
      </w:r>
      <w:r w:rsidR="00346681" w:rsidRPr="00293BB7">
        <w:rPr>
          <w:i/>
        </w:rPr>
        <w:t>Fairway Magazines</w:t>
      </w:r>
      <w:r w:rsidRPr="00A573CA">
        <w:t xml:space="preserve"> to the </w:t>
      </w:r>
      <w:r w:rsidR="00E10F03">
        <w:t>current</w:t>
      </w:r>
      <w:r w:rsidRPr="00A573CA">
        <w:t xml:space="preserve"> scenario, in the absence of a fresh injection of funds</w:t>
      </w:r>
      <w:r w:rsidR="009B2930">
        <w:t xml:space="preserve">, which would of course not be forthcoming in a situation </w:t>
      </w:r>
      <w:r w:rsidR="00DA3AD3">
        <w:t>where</w:t>
      </w:r>
      <w:r w:rsidR="009B2930">
        <w:t xml:space="preserve"> a regulator requested security in respect of environmental liabilities</w:t>
      </w:r>
      <w:r w:rsidRPr="00A573CA">
        <w:t xml:space="preserve">, the operator’s provision of security is less likely to be deemed </w:t>
      </w:r>
      <w:r w:rsidR="00EB7B4F">
        <w:t>to have been</w:t>
      </w:r>
      <w:r w:rsidRPr="00A573CA">
        <w:t xml:space="preserve"> influenced by proper commercial considerations. </w:t>
      </w:r>
      <w:r w:rsidR="00B71A73">
        <w:t>Indeed, the security provided will not</w:t>
      </w:r>
      <w:r w:rsidRPr="00A573CA">
        <w:t xml:space="preserve"> aid the </w:t>
      </w:r>
      <w:r w:rsidR="001C4F58">
        <w:t xml:space="preserve">operator’s </w:t>
      </w:r>
      <w:r w:rsidRPr="00A573CA">
        <w:t xml:space="preserve">financial viability. </w:t>
      </w:r>
      <w:r w:rsidR="00B71A73">
        <w:t>Rather</w:t>
      </w:r>
      <w:r w:rsidRPr="00A573CA">
        <w:t xml:space="preserve">, </w:t>
      </w:r>
      <w:r w:rsidR="0006410E">
        <w:t>it</w:t>
      </w:r>
      <w:r w:rsidRPr="00A573CA">
        <w:t xml:space="preserve"> may </w:t>
      </w:r>
      <w:r w:rsidR="00B71A73">
        <w:t xml:space="preserve">actually </w:t>
      </w:r>
      <w:r w:rsidRPr="00A573CA">
        <w:t xml:space="preserve">diminish the prospect of finance being raised from a lender in the future owing to a reduced level of equity in the premises. </w:t>
      </w:r>
      <w:r w:rsidR="00EB3ADB">
        <w:t xml:space="preserve">However, if </w:t>
      </w:r>
      <w:r w:rsidR="007A5F6A">
        <w:t>a</w:t>
      </w:r>
      <w:r w:rsidR="00EB3ADB">
        <w:t xml:space="preserve"> payment was made to the regulator to prevent it from taking a charge over its premises then this could</w:t>
      </w:r>
      <w:r w:rsidR="007A5F6A">
        <w:t>, in fact, be</w:t>
      </w:r>
      <w:r w:rsidR="00EB3ADB">
        <w:t xml:space="preserve"> deemed to have been driven by proper commercial considerations, particularly where such a charge could </w:t>
      </w:r>
      <w:r w:rsidR="007A5F6A">
        <w:t xml:space="preserve">have </w:t>
      </w:r>
      <w:r w:rsidR="00EB3ADB">
        <w:t>hinder</w:t>
      </w:r>
      <w:r w:rsidR="007A5F6A">
        <w:t>ed</w:t>
      </w:r>
      <w:r w:rsidR="00EB3ADB">
        <w:t xml:space="preserve"> debt finance being raised by the operator</w:t>
      </w:r>
      <w:r w:rsidR="007A5F6A">
        <w:t xml:space="preserve"> at a later date</w:t>
      </w:r>
      <w:r w:rsidR="00EB3ADB">
        <w:t>.</w:t>
      </w:r>
    </w:p>
    <w:p w:rsidR="00E25DFF" w:rsidRPr="00472512" w:rsidRDefault="00F84701" w:rsidP="00346681">
      <w:pPr>
        <w:pStyle w:val="PhDParagraphnoIdent"/>
        <w:ind w:firstLine="709"/>
      </w:pPr>
      <w:r w:rsidRPr="00A573CA">
        <w:t xml:space="preserve">A further argument </w:t>
      </w:r>
      <w:r w:rsidR="007C5115">
        <w:t>to</w:t>
      </w:r>
      <w:r w:rsidRPr="00A573CA">
        <w:t xml:space="preserve"> counter assertions that the operator positively wished to improve</w:t>
      </w:r>
      <w:r w:rsidR="007C5115">
        <w:t xml:space="preserve"> </w:t>
      </w:r>
      <w:r w:rsidR="00D55D77">
        <w:t>the regulator’s</w:t>
      </w:r>
      <w:r w:rsidRPr="00A573CA">
        <w:t xml:space="preserve"> position is that </w:t>
      </w:r>
      <w:r w:rsidR="007A5F6A">
        <w:t>the directors</w:t>
      </w:r>
      <w:r w:rsidRPr="00A573CA">
        <w:t xml:space="preserve"> may, in fact, contend that </w:t>
      </w:r>
      <w:r w:rsidR="007A5F6A">
        <w:t>they</w:t>
      </w:r>
      <w:r w:rsidRPr="00A573CA">
        <w:t xml:space="preserve"> felt forced into the decision and cared little as to whether the </w:t>
      </w:r>
      <w:r w:rsidR="007C5115">
        <w:t>regulator’s</w:t>
      </w:r>
      <w:r w:rsidRPr="00A573CA">
        <w:t xml:space="preserve"> position had been improved. It has long been established that statutory use of the word ‘preference’ implie</w:t>
      </w:r>
      <w:r w:rsidR="007C5115">
        <w:t>s</w:t>
      </w:r>
      <w:r w:rsidRPr="00A573CA">
        <w:t xml:space="preserve"> an act of free </w:t>
      </w:r>
      <w:r w:rsidRPr="00A573CA">
        <w:lastRenderedPageBreak/>
        <w:t>will.</w:t>
      </w:r>
      <w:r w:rsidRPr="00A573CA">
        <w:rPr>
          <w:rStyle w:val="FootnoteReference"/>
        </w:rPr>
        <w:footnoteReference w:id="204"/>
      </w:r>
      <w:r w:rsidRPr="00A573CA">
        <w:t xml:space="preserve"> </w:t>
      </w:r>
      <w:r w:rsidR="00626DAF" w:rsidRPr="00472512">
        <w:rPr>
          <w:i/>
        </w:rPr>
        <w:t>Re MC Bacon Ltd (No 1)</w:t>
      </w:r>
      <w:r w:rsidR="00626DAF" w:rsidRPr="00472512">
        <w:t xml:space="preserve"> </w:t>
      </w:r>
      <w:r w:rsidR="00CE7EB0" w:rsidRPr="00472512">
        <w:t>is a case in point. There,</w:t>
      </w:r>
      <w:r w:rsidR="00E16518" w:rsidRPr="00472512">
        <w:t xml:space="preserve"> </w:t>
      </w:r>
      <w:r w:rsidR="00626DAF" w:rsidRPr="00472512">
        <w:t>a</w:t>
      </w:r>
      <w:r w:rsidR="00E16518" w:rsidRPr="00472512">
        <w:t xml:space="preserve"> bank had placed pressure on </w:t>
      </w:r>
      <w:r w:rsidR="00626DAF" w:rsidRPr="00472512">
        <w:t>a</w:t>
      </w:r>
      <w:r w:rsidR="00E16518" w:rsidRPr="00472512">
        <w:t xml:space="preserve"> company to grant it a debenture in respect of sums outstanding under an overdraft.</w:t>
      </w:r>
      <w:r w:rsidR="00CE7EB0" w:rsidRPr="00472512">
        <w:t xml:space="preserve"> </w:t>
      </w:r>
      <w:r w:rsidR="00E16518" w:rsidRPr="00472512">
        <w:t>The company eventually acceded to these demands</w:t>
      </w:r>
      <w:r w:rsidR="000702D7" w:rsidRPr="00472512">
        <w:t xml:space="preserve"> but went into insolvent</w:t>
      </w:r>
      <w:r w:rsidR="00E16518" w:rsidRPr="00472512">
        <w:t xml:space="preserve"> liquidation some three months later. </w:t>
      </w:r>
      <w:r w:rsidR="000702D7" w:rsidRPr="00472512">
        <w:t>The</w:t>
      </w:r>
      <w:r w:rsidR="00E16518" w:rsidRPr="00472512">
        <w:t xml:space="preserve"> liquidator sought to set aside the debenture under s</w:t>
      </w:r>
      <w:r w:rsidR="00EB7B4F">
        <w:t>ection</w:t>
      </w:r>
      <w:r w:rsidR="00E16518" w:rsidRPr="00472512">
        <w:t xml:space="preserve"> 239. </w:t>
      </w:r>
      <w:r w:rsidR="000702D7" w:rsidRPr="00472512">
        <w:t xml:space="preserve">In finding against the liquidator, </w:t>
      </w:r>
      <w:r w:rsidR="00CE7EB0" w:rsidRPr="00472512">
        <w:t xml:space="preserve">Millet J </w:t>
      </w:r>
      <w:r w:rsidR="00323575" w:rsidRPr="00472512">
        <w:t>held</w:t>
      </w:r>
      <w:r w:rsidR="00CE7EB0" w:rsidRPr="00472512">
        <w:t xml:space="preserve"> that</w:t>
      </w:r>
      <w:r w:rsidR="00323575" w:rsidRPr="00472512">
        <w:t xml:space="preserve"> in granting the debenture</w:t>
      </w:r>
      <w:r w:rsidR="00CE7EB0" w:rsidRPr="00472512">
        <w:t xml:space="preserve"> the directors had not</w:t>
      </w:r>
      <w:r w:rsidR="00E16518" w:rsidRPr="00472512">
        <w:t xml:space="preserve"> wanted to improve the bank’</w:t>
      </w:r>
      <w:r w:rsidR="00CE7EB0" w:rsidRPr="00472512">
        <w:t>s position in the event of an insolvent liquidation.</w:t>
      </w:r>
      <w:r w:rsidR="00CE7EB0" w:rsidRPr="00472512">
        <w:rPr>
          <w:rStyle w:val="FootnoteReference"/>
        </w:rPr>
        <w:footnoteReference w:id="205"/>
      </w:r>
      <w:r w:rsidR="00CE7EB0" w:rsidRPr="00472512">
        <w:t xml:space="preserve"> </w:t>
      </w:r>
      <w:r w:rsidR="000702D7" w:rsidRPr="00472512">
        <w:t xml:space="preserve">The only desire that had motivated </w:t>
      </w:r>
      <w:r w:rsidR="00487203" w:rsidRPr="00472512">
        <w:t>them was</w:t>
      </w:r>
      <w:r w:rsidR="000702D7" w:rsidRPr="00472512">
        <w:t xml:space="preserve"> </w:t>
      </w:r>
      <w:r w:rsidR="00CE7EB0" w:rsidRPr="00472512">
        <w:t>to avoid the bank calling in the overdraft</w:t>
      </w:r>
      <w:r w:rsidR="00487203" w:rsidRPr="00472512">
        <w:t>.</w:t>
      </w:r>
      <w:r w:rsidR="00487203" w:rsidRPr="00472512">
        <w:rPr>
          <w:rStyle w:val="FootnoteReference"/>
        </w:rPr>
        <w:footnoteReference w:id="206"/>
      </w:r>
      <w:r w:rsidR="00CE7EB0" w:rsidRPr="00472512">
        <w:t xml:space="preserve"> </w:t>
      </w:r>
      <w:r w:rsidR="00487203" w:rsidRPr="00472512">
        <w:t>Had the bank done so, then this would have prevented the company from trading</w:t>
      </w:r>
      <w:r w:rsidR="00CE7EB0" w:rsidRPr="00472512">
        <w:t>.</w:t>
      </w:r>
      <w:r w:rsidR="00CA727C" w:rsidRPr="00472512">
        <w:t xml:space="preserve"> </w:t>
      </w:r>
    </w:p>
    <w:p w:rsidR="0006410E" w:rsidRDefault="00F34519" w:rsidP="007A5F6A">
      <w:pPr>
        <w:pStyle w:val="PhDParagraphnoIdent"/>
        <w:ind w:firstLine="709"/>
      </w:pPr>
      <w:r w:rsidRPr="00472512">
        <w:t>It appears that where</w:t>
      </w:r>
      <w:r w:rsidR="00E16518" w:rsidRPr="00472512">
        <w:t xml:space="preserve"> </w:t>
      </w:r>
      <w:r w:rsidR="00E25DFF" w:rsidRPr="00472512">
        <w:t xml:space="preserve">it can be demonstrated that the payment made, or security given to the regulator </w:t>
      </w:r>
      <w:r w:rsidR="00E16518" w:rsidRPr="00472512">
        <w:t xml:space="preserve">was </w:t>
      </w:r>
      <w:r w:rsidR="00E25DFF" w:rsidRPr="00472512">
        <w:t>done so</w:t>
      </w:r>
      <w:r w:rsidR="00E16518" w:rsidRPr="00472512">
        <w:t xml:space="preserve"> under pressure</w:t>
      </w:r>
      <w:r w:rsidR="00E25DFF" w:rsidRPr="00472512">
        <w:t xml:space="preserve"> then</w:t>
      </w:r>
      <w:r w:rsidR="00CA727C" w:rsidRPr="00472512">
        <w:t xml:space="preserve"> </w:t>
      </w:r>
      <w:r w:rsidR="00E16518" w:rsidRPr="00472512">
        <w:t>it will not be set aside as a preference</w:t>
      </w:r>
      <w:r w:rsidR="000702D7" w:rsidRPr="00472512">
        <w:t>.</w:t>
      </w:r>
      <w:r w:rsidR="000702D7" w:rsidRPr="00472512">
        <w:rPr>
          <w:rStyle w:val="FootnoteReference"/>
        </w:rPr>
        <w:footnoteReference w:id="207"/>
      </w:r>
      <w:r w:rsidR="000702D7" w:rsidRPr="00472512">
        <w:t xml:space="preserve"> </w:t>
      </w:r>
      <w:r w:rsidR="00F84701" w:rsidRPr="00472512">
        <w:t xml:space="preserve">Thus, </w:t>
      </w:r>
      <w:r w:rsidR="00DC5C0E" w:rsidRPr="00472512">
        <w:t>it will be</w:t>
      </w:r>
      <w:r w:rsidR="00F84701" w:rsidRPr="00472512">
        <w:t xml:space="preserve"> valid. </w:t>
      </w:r>
      <w:r w:rsidR="00E25DFF" w:rsidRPr="00472512">
        <w:t>This</w:t>
      </w:r>
      <w:r w:rsidR="00DC5C0E" w:rsidRPr="00472512">
        <w:t xml:space="preserve"> seems</w:t>
      </w:r>
      <w:r w:rsidR="00E25DFF" w:rsidRPr="00472512">
        <w:t xml:space="preserve"> to generate</w:t>
      </w:r>
      <w:r w:rsidR="00F84701" w:rsidRPr="00472512">
        <w:t xml:space="preserve"> a perverse incentive for </w:t>
      </w:r>
      <w:r w:rsidR="0043655E" w:rsidRPr="00472512">
        <w:t>a regulator</w:t>
      </w:r>
      <w:r w:rsidR="00F84701" w:rsidRPr="00472512">
        <w:t xml:space="preserve"> to apply</w:t>
      </w:r>
      <w:r w:rsidR="00753D2D" w:rsidRPr="00472512">
        <w:t xml:space="preserve"> quite</w:t>
      </w:r>
      <w:r w:rsidR="00F84701" w:rsidRPr="00472512">
        <w:t xml:space="preserve"> significant pressure</w:t>
      </w:r>
      <w:r w:rsidR="00DC5C0E" w:rsidRPr="00472512">
        <w:t xml:space="preserve">. </w:t>
      </w:r>
      <w:r w:rsidR="003B1FD9" w:rsidRPr="00472512">
        <w:t>Relevant pressure</w:t>
      </w:r>
      <w:r w:rsidR="00DC5C0E" w:rsidRPr="00472512">
        <w:t xml:space="preserve"> could</w:t>
      </w:r>
      <w:r w:rsidR="007C5115" w:rsidRPr="00472512">
        <w:t xml:space="preserve"> includ</w:t>
      </w:r>
      <w:r w:rsidR="00DC5C0E" w:rsidRPr="00472512">
        <w:t>e</w:t>
      </w:r>
      <w:r w:rsidR="00F84701" w:rsidRPr="00472512">
        <w:t xml:space="preserve"> </w:t>
      </w:r>
      <w:r w:rsidR="00D55D77" w:rsidRPr="00472512">
        <w:t>threatening the instigation of</w:t>
      </w:r>
      <w:r w:rsidR="00F84701" w:rsidRPr="00472512">
        <w:t xml:space="preserve"> legal proceedings to rec</w:t>
      </w:r>
      <w:r w:rsidR="00DC5C0E" w:rsidRPr="00472512">
        <w:t>over the remediation costs owed.</w:t>
      </w:r>
      <w:r w:rsidR="00F84701" w:rsidRPr="00472512">
        <w:rPr>
          <w:rStyle w:val="FootnoteReference"/>
        </w:rPr>
        <w:footnoteReference w:id="208"/>
      </w:r>
      <w:r w:rsidR="00E25DFF" w:rsidRPr="00472512">
        <w:t xml:space="preserve"> </w:t>
      </w:r>
      <w:r w:rsidR="00DC5C0E" w:rsidRPr="00472512">
        <w:t xml:space="preserve">It may also involve </w:t>
      </w:r>
      <w:r w:rsidR="00CA727C" w:rsidRPr="00472512">
        <w:t>threaten</w:t>
      </w:r>
      <w:r w:rsidR="00E25DFF" w:rsidRPr="00472512">
        <w:t>ing</w:t>
      </w:r>
      <w:r w:rsidR="00CA727C" w:rsidRPr="00472512">
        <w:t xml:space="preserve"> to revoke a licence, permit or other authorisation essential to the operator’s commercial activities. </w:t>
      </w:r>
      <w:r w:rsidR="00E25DFF" w:rsidRPr="00472512">
        <w:t>These types of tactics</w:t>
      </w:r>
      <w:r w:rsidR="00F84701" w:rsidRPr="00472512">
        <w:t xml:space="preserve"> </w:t>
      </w:r>
      <w:r w:rsidR="00D55D77" w:rsidRPr="00472512">
        <w:t xml:space="preserve">tactic </w:t>
      </w:r>
      <w:r w:rsidR="00F84701" w:rsidRPr="00472512">
        <w:t>may seem to counter the very aim of s</w:t>
      </w:r>
      <w:r w:rsidR="00B55428" w:rsidRPr="00472512">
        <w:t>ection</w:t>
      </w:r>
      <w:r w:rsidR="00F84701" w:rsidRPr="00472512">
        <w:t xml:space="preserve"> 239, namely to ensure that there is a </w:t>
      </w:r>
      <w:r w:rsidR="00237EBE" w:rsidRPr="00472512">
        <w:t>‘</w:t>
      </w:r>
      <w:r w:rsidR="00F84701" w:rsidRPr="00472512">
        <w:t>collective process</w:t>
      </w:r>
      <w:r w:rsidR="00237EBE" w:rsidRPr="00472512">
        <w:t>’</w:t>
      </w:r>
      <w:r w:rsidR="00F84701" w:rsidRPr="00472512">
        <w:t xml:space="preserve"> in the distribution of assets </w:t>
      </w:r>
      <w:r w:rsidR="00753D2D" w:rsidRPr="00472512">
        <w:t xml:space="preserve">amongst the company’s creditors </w:t>
      </w:r>
      <w:r w:rsidR="00F84701" w:rsidRPr="00472512">
        <w:t>upon liquidation</w:t>
      </w:r>
      <w:r w:rsidR="00D55D77" w:rsidRPr="00472512">
        <w:t>.</w:t>
      </w:r>
      <w:r w:rsidR="000218FA" w:rsidRPr="00472512">
        <w:rPr>
          <w:rStyle w:val="FootnoteReference"/>
        </w:rPr>
        <w:footnoteReference w:id="209"/>
      </w:r>
      <w:r w:rsidR="00D55D77" w:rsidRPr="00472512">
        <w:t xml:space="preserve"> </w:t>
      </w:r>
      <w:r w:rsidR="00AE7E9D" w:rsidRPr="00472512">
        <w:t>Nevertheless,</w:t>
      </w:r>
      <w:r w:rsidR="00F84701" w:rsidRPr="00472512">
        <w:t xml:space="preserve"> </w:t>
      </w:r>
      <w:r w:rsidR="00AE7E9D" w:rsidRPr="00472512">
        <w:t>p</w:t>
      </w:r>
      <w:r w:rsidR="0006410E" w:rsidRPr="00472512">
        <w:t>roactive and robust attempts</w:t>
      </w:r>
      <w:r w:rsidR="00B145A7" w:rsidRPr="00472512">
        <w:t xml:space="preserve"> by the regulator</w:t>
      </w:r>
      <w:r w:rsidR="0006410E" w:rsidRPr="00472512">
        <w:t xml:space="preserve"> to recover outstanding costs from the responsible operator </w:t>
      </w:r>
      <w:r w:rsidR="00B145A7" w:rsidRPr="00472512">
        <w:t>appear to be one solution to minimising, albeit not eliminating, the prospect of a successful recovery amounting to a preference.</w:t>
      </w:r>
      <w:r w:rsidR="00222C69" w:rsidRPr="00472512">
        <w:t xml:space="preserve"> From the perspective of both the environment and the taxpayer, this is a highly beneficial outcome.</w:t>
      </w:r>
    </w:p>
    <w:p w:rsidR="007C1083" w:rsidRDefault="00C955BC" w:rsidP="00852DBA">
      <w:pPr>
        <w:pStyle w:val="PhDParagraph"/>
      </w:pPr>
      <w:r w:rsidRPr="00A573CA">
        <w:lastRenderedPageBreak/>
        <w:t xml:space="preserve">The </w:t>
      </w:r>
      <w:r w:rsidR="00C0355B" w:rsidRPr="00A573CA">
        <w:t>application</w:t>
      </w:r>
      <w:r w:rsidRPr="00A573CA">
        <w:t xml:space="preserve"> of s</w:t>
      </w:r>
      <w:r w:rsidR="00B55428">
        <w:t>ection</w:t>
      </w:r>
      <w:r w:rsidRPr="00A573CA">
        <w:t xml:space="preserve"> 239 to the </w:t>
      </w:r>
      <w:r w:rsidR="001C4F58">
        <w:t xml:space="preserve">third </w:t>
      </w:r>
      <w:r w:rsidRPr="00A573CA">
        <w:t xml:space="preserve">scenario </w:t>
      </w:r>
      <w:r w:rsidR="00C0355B" w:rsidRPr="00A573CA">
        <w:t>does</w:t>
      </w:r>
      <w:r w:rsidRPr="00A573CA">
        <w:t xml:space="preserve"> </w:t>
      </w:r>
      <w:r w:rsidR="008167C7" w:rsidRPr="00A573CA">
        <w:t xml:space="preserve">not </w:t>
      </w:r>
      <w:r w:rsidR="00C0355B" w:rsidRPr="00A573CA">
        <w:t xml:space="preserve">produce a </w:t>
      </w:r>
      <w:r w:rsidR="008167C7" w:rsidRPr="00A573CA">
        <w:t xml:space="preserve">clear cut </w:t>
      </w:r>
      <w:r w:rsidR="00C0355B" w:rsidRPr="00A573CA">
        <w:t xml:space="preserve">answer. It </w:t>
      </w:r>
      <w:r w:rsidR="008167C7" w:rsidRPr="00A573CA">
        <w:t>is likely to be heavily dependent upon the facts of the case</w:t>
      </w:r>
      <w:r w:rsidR="00383974" w:rsidRPr="00A573CA">
        <w:t xml:space="preserve"> and</w:t>
      </w:r>
      <w:r w:rsidR="00BA4001" w:rsidRPr="00A573CA">
        <w:t xml:space="preserve"> t</w:t>
      </w:r>
      <w:r w:rsidR="00383974" w:rsidRPr="00A573CA">
        <w:t>he dynamics between the operator</w:t>
      </w:r>
      <w:r w:rsidR="00F84701" w:rsidRPr="00A573CA">
        <w:t xml:space="preserve"> or </w:t>
      </w:r>
      <w:r w:rsidR="00993610">
        <w:t>its</w:t>
      </w:r>
      <w:r w:rsidR="00F84701" w:rsidRPr="00A573CA">
        <w:t xml:space="preserve"> parent company</w:t>
      </w:r>
      <w:r w:rsidR="00383974" w:rsidRPr="00A573CA">
        <w:t xml:space="preserve"> and the </w:t>
      </w:r>
      <w:r w:rsidR="00993610">
        <w:t>regulator</w:t>
      </w:r>
      <w:r w:rsidRPr="00A573CA">
        <w:t>.</w:t>
      </w:r>
      <w:r w:rsidR="00FE3FE1">
        <w:t xml:space="preserve"> These are likely to </w:t>
      </w:r>
      <w:r w:rsidR="00753D2D">
        <w:t>provide strong indications as to</w:t>
      </w:r>
      <w:r w:rsidR="00FE3FE1">
        <w:t xml:space="preserve"> the motive behind the payment made or security given</w:t>
      </w:r>
      <w:r w:rsidR="00753D2D">
        <w:t>, a key factor for the court in arriving at its decisions as to whether a preference has been given</w:t>
      </w:r>
      <w:r w:rsidR="00FE3FE1">
        <w:t>.</w:t>
      </w:r>
      <w:r w:rsidRPr="00A573CA">
        <w:t xml:space="preserve"> </w:t>
      </w:r>
      <w:r w:rsidR="008B70A5">
        <w:t>W</w:t>
      </w:r>
      <w:r w:rsidR="008167C7" w:rsidRPr="00A573CA">
        <w:t xml:space="preserve">here </w:t>
      </w:r>
      <w:r w:rsidR="008B70A5">
        <w:t>an operator succumbs to the</w:t>
      </w:r>
      <w:r w:rsidR="008167C7" w:rsidRPr="00A573CA">
        <w:t xml:space="preserve"> </w:t>
      </w:r>
      <w:r w:rsidR="00863C78">
        <w:t>regulator</w:t>
      </w:r>
      <w:r w:rsidR="00C0355B" w:rsidRPr="00A573CA">
        <w:t xml:space="preserve">’s </w:t>
      </w:r>
      <w:r w:rsidR="00AD74D6" w:rsidRPr="00A573CA">
        <w:t>demand for payment or request</w:t>
      </w:r>
      <w:r w:rsidR="008B70A5">
        <w:t xml:space="preserve"> for security but then</w:t>
      </w:r>
      <w:r w:rsidR="00AD74D6" w:rsidRPr="00A573CA">
        <w:t xml:space="preserve"> enters in</w:t>
      </w:r>
      <w:r w:rsidR="008B70A5">
        <w:t>to insolvent</w:t>
      </w:r>
      <w:r w:rsidR="00AD74D6" w:rsidRPr="00A573CA">
        <w:t xml:space="preserve"> liquidation in the following six months, </w:t>
      </w:r>
      <w:r w:rsidR="000624B3" w:rsidRPr="00A573CA">
        <w:t xml:space="preserve">this </w:t>
      </w:r>
      <w:r w:rsidR="00AD74D6" w:rsidRPr="00A573CA">
        <w:t xml:space="preserve">will mean that the </w:t>
      </w:r>
      <w:r w:rsidR="00863C78">
        <w:t>regulator</w:t>
      </w:r>
      <w:r w:rsidR="00C0355B" w:rsidRPr="00A573CA">
        <w:t xml:space="preserve"> </w:t>
      </w:r>
      <w:r w:rsidR="007A5F6A">
        <w:t>will have been</w:t>
      </w:r>
      <w:r w:rsidR="00AD74D6" w:rsidRPr="00A573CA">
        <w:t xml:space="preserve"> placed in a better position than it would </w:t>
      </w:r>
      <w:r w:rsidR="007A5F6A">
        <w:t>have been had the</w:t>
      </w:r>
      <w:r w:rsidR="00AD74D6" w:rsidRPr="00A573CA">
        <w:t xml:space="preserve"> payment or request not</w:t>
      </w:r>
      <w:r w:rsidR="007A5F6A">
        <w:t xml:space="preserve"> been</w:t>
      </w:r>
      <w:r w:rsidR="00AD74D6" w:rsidRPr="00A573CA">
        <w:t xml:space="preserve"> made. </w:t>
      </w:r>
      <w:r w:rsidR="00AC23D1" w:rsidRPr="00A573CA">
        <w:t xml:space="preserve">The fact that </w:t>
      </w:r>
      <w:r w:rsidR="00683FC0">
        <w:t>it</w:t>
      </w:r>
      <w:r w:rsidR="00AC23D1" w:rsidRPr="00A573CA">
        <w:t xml:space="preserve"> may amount to a preference is strengthened by the </w:t>
      </w:r>
      <w:r w:rsidR="002075EC" w:rsidRPr="00A573CA">
        <w:t xml:space="preserve">fact </w:t>
      </w:r>
      <w:r w:rsidR="00AC23D1" w:rsidRPr="00A573CA">
        <w:t xml:space="preserve">that the requisite desire need only have been one of the factors </w:t>
      </w:r>
      <w:r w:rsidR="00683FC0">
        <w:t>on the mind</w:t>
      </w:r>
      <w:r w:rsidR="00AC23D1" w:rsidRPr="00A573CA">
        <w:t xml:space="preserve"> of </w:t>
      </w:r>
      <w:r w:rsidR="00F669BD" w:rsidRPr="00A573CA">
        <w:t xml:space="preserve">the operator; it need not have </w:t>
      </w:r>
      <w:r w:rsidR="00683FC0">
        <w:t xml:space="preserve">been </w:t>
      </w:r>
      <w:r w:rsidR="00F669BD" w:rsidRPr="00A573CA">
        <w:t>the factor which tipped the balance in favour of the transaction being entered.</w:t>
      </w:r>
      <w:r w:rsidR="00F669BD">
        <w:t xml:space="preserve"> </w:t>
      </w:r>
      <w:r w:rsidR="008B70A5">
        <w:t>It appears likely that</w:t>
      </w:r>
      <w:r w:rsidR="005707E8">
        <w:t xml:space="preserve"> any desire to </w:t>
      </w:r>
      <w:r w:rsidR="000218FA">
        <w:t>‘</w:t>
      </w:r>
      <w:r w:rsidR="005707E8">
        <w:t>do the right thing</w:t>
      </w:r>
      <w:r w:rsidR="000218FA">
        <w:t>’</w:t>
      </w:r>
      <w:r w:rsidR="005707E8">
        <w:t xml:space="preserve"> or to keep the regulator </w:t>
      </w:r>
      <w:r w:rsidR="000218FA">
        <w:t>‘onside’</w:t>
      </w:r>
      <w:r w:rsidR="008B70A5">
        <w:t xml:space="preserve"> will result in the court finding that a preference has been given by the operator, and the regulator drop</w:t>
      </w:r>
      <w:r w:rsidR="00AB3A62">
        <w:t>ping</w:t>
      </w:r>
      <w:r w:rsidR="008B70A5">
        <w:t xml:space="preserve"> back to compete pari passu with the general body of unsecu</w:t>
      </w:r>
      <w:r w:rsidR="00184A68">
        <w:t>red, non-preferential creditors.</w:t>
      </w:r>
    </w:p>
    <w:p w:rsidR="00513FD0" w:rsidRDefault="00513FD0" w:rsidP="00C22696">
      <w:pPr>
        <w:pStyle w:val="PhDParagraphnoIdent"/>
        <w:keepNext/>
      </w:pPr>
    </w:p>
    <w:p w:rsidR="00143C7D" w:rsidRDefault="00C9715D" w:rsidP="00C9715D">
      <w:pPr>
        <w:pStyle w:val="Heading1"/>
        <w:numPr>
          <w:ilvl w:val="0"/>
          <w:numId w:val="0"/>
        </w:numPr>
        <w:ind w:left="709" w:hanging="709"/>
      </w:pPr>
      <w:bookmarkStart w:id="9" w:name="_Ref401604481"/>
      <w:r>
        <w:t xml:space="preserve">D.  CONCLUSION AND RECOMMENDATIONS </w:t>
      </w:r>
      <w:bookmarkEnd w:id="9"/>
    </w:p>
    <w:p w:rsidR="00513FD0" w:rsidRPr="00513FD0" w:rsidRDefault="00513FD0" w:rsidP="00344977">
      <w:pPr>
        <w:pStyle w:val="PhDParagraph"/>
      </w:pPr>
    </w:p>
    <w:p w:rsidR="00230D3D" w:rsidRDefault="00513FD0" w:rsidP="00970B68">
      <w:pPr>
        <w:pStyle w:val="PhDParagraphnoIdent"/>
      </w:pPr>
      <w:r>
        <w:t xml:space="preserve">It has been argued that as a means of evidencing financial security, </w:t>
      </w:r>
      <w:r w:rsidR="00E07A11" w:rsidRPr="00E07A11">
        <w:t xml:space="preserve">self-insurance </w:t>
      </w:r>
      <w:r w:rsidR="00230D3D">
        <w:t xml:space="preserve">exhibits </w:t>
      </w:r>
      <w:r w:rsidR="00230D3D" w:rsidRPr="007829D7">
        <w:t xml:space="preserve">certain features </w:t>
      </w:r>
      <w:r w:rsidR="00230D3D">
        <w:t xml:space="preserve">that </w:t>
      </w:r>
      <w:r w:rsidR="00230D3D" w:rsidRPr="007829D7">
        <w:t xml:space="preserve">may hinder </w:t>
      </w:r>
      <w:r w:rsidR="00230D3D">
        <w:t>its</w:t>
      </w:r>
      <w:r w:rsidR="00230D3D" w:rsidRPr="007829D7">
        <w:t xml:space="preserve"> remedial capacity</w:t>
      </w:r>
      <w:r>
        <w:t>. This may prove to be extremely problematic from the perspective of environmental protection</w:t>
      </w:r>
      <w:r w:rsidR="00230D3D" w:rsidRPr="007829D7">
        <w:t xml:space="preserve">. </w:t>
      </w:r>
      <w:r w:rsidR="00230D3D">
        <w:t xml:space="preserve">The absence of a requirement to </w:t>
      </w:r>
      <w:r w:rsidR="005707E8">
        <w:t>set aside</w:t>
      </w:r>
      <w:r w:rsidR="00230D3D" w:rsidRPr="002175C6">
        <w:t xml:space="preserve"> specific assets or funds to </w:t>
      </w:r>
      <w:r w:rsidR="00C948AC">
        <w:t xml:space="preserve">cover </w:t>
      </w:r>
      <w:r w:rsidR="00230D3D" w:rsidRPr="002175C6">
        <w:t>environmental liabilities</w:t>
      </w:r>
      <w:r w:rsidR="00230D3D">
        <w:t xml:space="preserve"> means that they are no</w:t>
      </w:r>
      <w:r>
        <w:t>t</w:t>
      </w:r>
      <w:r w:rsidR="0001038F">
        <w:t xml:space="preserve"> </w:t>
      </w:r>
      <w:r>
        <w:t xml:space="preserve">ring-fenced if the operator, </w:t>
      </w:r>
      <w:r w:rsidR="00230D3D">
        <w:t>or its parent</w:t>
      </w:r>
      <w:r>
        <w:t xml:space="preserve">, </w:t>
      </w:r>
      <w:r w:rsidR="00230D3D">
        <w:t>enters</w:t>
      </w:r>
      <w:r>
        <w:t xml:space="preserve"> into</w:t>
      </w:r>
      <w:r w:rsidR="00230D3D">
        <w:t xml:space="preserve"> liquidation with the result that the public</w:t>
      </w:r>
      <w:r w:rsidR="00C22696">
        <w:t xml:space="preserve"> will be required to pay the requisite costs</w:t>
      </w:r>
      <w:r w:rsidR="00230D3D">
        <w:t>.</w:t>
      </w:r>
      <w:r w:rsidR="00230D3D">
        <w:rPr>
          <w:rStyle w:val="FootnoteReference"/>
        </w:rPr>
        <w:footnoteReference w:id="210"/>
      </w:r>
      <w:r w:rsidR="00230D3D">
        <w:t xml:space="preserve"> Further, a </w:t>
      </w:r>
      <w:r w:rsidR="00E07A11" w:rsidRPr="00E07A11">
        <w:t>self</w:t>
      </w:r>
      <w:r w:rsidR="00E07A11">
        <w:t>-insuring</w:t>
      </w:r>
      <w:r w:rsidR="00E07A11" w:rsidRPr="00E07A11">
        <w:t xml:space="preserve"> </w:t>
      </w:r>
      <w:r w:rsidR="00230D3D">
        <w:t xml:space="preserve">operator’s lack of </w:t>
      </w:r>
      <w:r w:rsidR="00230D3D">
        <w:lastRenderedPageBreak/>
        <w:t>adequate funds</w:t>
      </w:r>
      <w:r>
        <w:t xml:space="preserve"> </w:t>
      </w:r>
      <w:r w:rsidR="00230D3D">
        <w:t>may result in a regulator seeking to impose environmental liabilities on a third party</w:t>
      </w:r>
      <w:r>
        <w:t>,</w:t>
      </w:r>
      <w:r w:rsidR="00230D3D">
        <w:t xml:space="preserve"> such as </w:t>
      </w:r>
      <w:r w:rsidR="005707E8">
        <w:t>the operator’s</w:t>
      </w:r>
      <w:r w:rsidR="00230D3D">
        <w:t xml:space="preserve"> parent company</w:t>
      </w:r>
      <w:r w:rsidR="005707E8">
        <w:t xml:space="preserve"> in circumstances where the parent has not provided a guarantee or bond</w:t>
      </w:r>
      <w:r w:rsidR="00230D3D">
        <w:t>.</w:t>
      </w:r>
    </w:p>
    <w:p w:rsidR="00407F20" w:rsidRDefault="00513FD0" w:rsidP="007E10D0">
      <w:pPr>
        <w:pStyle w:val="PhDParagraphnoIdent"/>
        <w:ind w:firstLine="709"/>
      </w:pPr>
      <w:r w:rsidRPr="00BB0F61">
        <w:t>S</w:t>
      </w:r>
      <w:r w:rsidR="00E07A11" w:rsidRPr="00E07A11">
        <w:t xml:space="preserve">elf-insurance </w:t>
      </w:r>
      <w:r w:rsidR="00230D3D" w:rsidRPr="00BB0F61">
        <w:t>is not evidence of financial security as such. Rather, it is arguably evidence of financial capability in the form of a financial health check at a given point in time</w:t>
      </w:r>
      <w:r w:rsidR="00C22696" w:rsidRPr="00BB0F61">
        <w:t xml:space="preserve">. It </w:t>
      </w:r>
      <w:r w:rsidR="0001038F" w:rsidRPr="00BB0F61">
        <w:t xml:space="preserve">requires the </w:t>
      </w:r>
      <w:r w:rsidR="00230D3D" w:rsidRPr="00BB0F61">
        <w:t xml:space="preserve">good faith </w:t>
      </w:r>
      <w:r w:rsidR="00C22696" w:rsidRPr="00BB0F61">
        <w:t>of the operator or its parent</w:t>
      </w:r>
      <w:r w:rsidR="005707E8" w:rsidRPr="00BB0F61">
        <w:t xml:space="preserve"> (if a guarantee or bond has been provided by it)</w:t>
      </w:r>
      <w:r w:rsidR="00C22696" w:rsidRPr="00BB0F61">
        <w:t xml:space="preserve"> </w:t>
      </w:r>
      <w:r w:rsidR="00230D3D" w:rsidRPr="00BB0F61">
        <w:t xml:space="preserve">to inform the regulator that the requisite tests or ratios are no longer met. Whilst </w:t>
      </w:r>
      <w:r w:rsidR="00E07A11">
        <w:t>self-insur</w:t>
      </w:r>
      <w:r w:rsidR="00230D3D" w:rsidRPr="00BB0F61">
        <w:t xml:space="preserve">ing operators are required to maintain financial stability during a given time period, </w:t>
      </w:r>
      <w:r w:rsidR="00C948AC">
        <w:t>the measure</w:t>
      </w:r>
      <w:r w:rsidR="00230D3D" w:rsidRPr="00BB0F61">
        <w:t xml:space="preserve"> cannot guarantee access to sufficient liquid funds to facilitate the expeditious remediation of environmental damage or fulfilment of environmental obligations under a permit, licence or other authorisation. </w:t>
      </w:r>
      <w:r w:rsidR="00ED40D0" w:rsidRPr="00BB0F61">
        <w:t xml:space="preserve">The implications of funds not being set aside during the operational phase of the relevant activity to pay for closure, reclamation, restoration, decommissioning and/or aftercare is borne out by the example of </w:t>
      </w:r>
      <w:r w:rsidR="004F231B">
        <w:t xml:space="preserve">the liquidation of </w:t>
      </w:r>
      <w:r w:rsidR="00ED40D0" w:rsidRPr="00BB0F61">
        <w:t>Scottish Coal</w:t>
      </w:r>
      <w:r w:rsidR="00C948AC">
        <w:t xml:space="preserve"> Company Ltd</w:t>
      </w:r>
      <w:r w:rsidR="00ED40D0" w:rsidRPr="00BB0F61">
        <w:t xml:space="preserve">. </w:t>
      </w:r>
      <w:r w:rsidR="00230D3D" w:rsidRPr="00BB0F61">
        <w:t>Indeed</w:t>
      </w:r>
      <w:r w:rsidR="00E07A11">
        <w:t>, evidencing</w:t>
      </w:r>
      <w:r w:rsidR="00230D3D" w:rsidRPr="00BB0F61">
        <w:t xml:space="preserve"> financial security</w:t>
      </w:r>
      <w:r w:rsidR="00E07A11">
        <w:t xml:space="preserve"> by self-insuring</w:t>
      </w:r>
      <w:r w:rsidR="00230D3D" w:rsidRPr="00BB0F61">
        <w:t xml:space="preserve"> is increasingly being considered unacceptable for industries such as coal mining due, as </w:t>
      </w:r>
      <w:r w:rsidR="007E10D0">
        <w:t>there was a</w:t>
      </w:r>
      <w:r w:rsidR="00230D3D" w:rsidRPr="00BB0F61">
        <w:t xml:space="preserve"> public perception </w:t>
      </w:r>
      <w:r w:rsidR="007E10D0">
        <w:t>‘…</w:t>
      </w:r>
      <w:r w:rsidR="00230D3D" w:rsidRPr="00BB0F61">
        <w:t xml:space="preserve">that a </w:t>
      </w:r>
      <w:r w:rsidR="00D73224" w:rsidRPr="00BB0F61">
        <w:t>self-guarantee</w:t>
      </w:r>
      <w:r w:rsidR="00230D3D" w:rsidRPr="00BB0F61">
        <w:t xml:space="preserve"> for a mining company is a contradi</w:t>
      </w:r>
      <w:r w:rsidR="00D73224" w:rsidRPr="00BB0F61">
        <w:t>ction in terms</w:t>
      </w:r>
      <w:r w:rsidR="00230D3D" w:rsidRPr="00BB0F61">
        <w:t>.</w:t>
      </w:r>
      <w:r w:rsidR="00C948AC">
        <w:t>’</w:t>
      </w:r>
      <w:r w:rsidR="00230D3D" w:rsidRPr="00BB0F61">
        <w:rPr>
          <w:rStyle w:val="FootnoteReference"/>
        </w:rPr>
        <w:footnoteReference w:id="211"/>
      </w:r>
      <w:r w:rsidR="00C22696" w:rsidRPr="00BB0F61">
        <w:t xml:space="preserve"> </w:t>
      </w:r>
      <w:r w:rsidR="00230D3D" w:rsidRPr="00BB0F61">
        <w:t>It is not suggested that third-party financial security</w:t>
      </w:r>
      <w:r w:rsidR="00C22696" w:rsidRPr="00BB0F61">
        <w:t>, such as insurance, surety bonds or bank guarantee</w:t>
      </w:r>
      <w:r w:rsidR="00B55428">
        <w:t>s</w:t>
      </w:r>
      <w:r w:rsidR="00C22696" w:rsidRPr="00BB0F61">
        <w:t>,</w:t>
      </w:r>
      <w:r w:rsidR="00230D3D" w:rsidRPr="00BB0F61">
        <w:t xml:space="preserve"> </w:t>
      </w:r>
      <w:r w:rsidR="00C22696" w:rsidRPr="00BB0F61">
        <w:t>ensure that adequate funds will be available</w:t>
      </w:r>
      <w:r w:rsidR="00230D3D" w:rsidRPr="00BB0F61">
        <w:t>. For example, a regulator may be unaware that an operator has failed to make regular payments into an escrow account if the bank does not report the same to the regulator.</w:t>
      </w:r>
      <w:r w:rsidR="00230D3D" w:rsidRPr="00BB0F61">
        <w:rPr>
          <w:rStyle w:val="FootnoteReference"/>
        </w:rPr>
        <w:footnoteReference w:id="212"/>
      </w:r>
      <w:r w:rsidR="00C22696" w:rsidRPr="00BB0F61">
        <w:t xml:space="preserve"> A third-</w:t>
      </w:r>
      <w:r w:rsidR="00230D3D" w:rsidRPr="00BB0F61">
        <w:t xml:space="preserve">party may </w:t>
      </w:r>
      <w:r w:rsidR="0001038F" w:rsidRPr="00BB0F61">
        <w:lastRenderedPageBreak/>
        <w:t xml:space="preserve">also </w:t>
      </w:r>
      <w:r w:rsidR="00230D3D" w:rsidRPr="00BB0F61">
        <w:t>refuse to make a payment if it considers that relevant conditions have not been met,</w:t>
      </w:r>
      <w:r w:rsidR="00230D3D" w:rsidRPr="00BB0F61">
        <w:rPr>
          <w:rStyle w:val="FootnoteReference"/>
        </w:rPr>
        <w:footnoteReference w:id="213"/>
      </w:r>
      <w:r w:rsidR="00230D3D" w:rsidRPr="00BB0F61">
        <w:t xml:space="preserve"> such as conditions in a performance guarantee bond.</w:t>
      </w:r>
      <w:r w:rsidR="00230D3D" w:rsidRPr="00BB0F61">
        <w:rPr>
          <w:rStyle w:val="FootnoteReference"/>
        </w:rPr>
        <w:footnoteReference w:id="214"/>
      </w:r>
      <w:r w:rsidR="008D7251" w:rsidRPr="00BB0F61">
        <w:t xml:space="preserve"> </w:t>
      </w:r>
    </w:p>
    <w:p w:rsidR="00230D3D" w:rsidRPr="00C22696" w:rsidRDefault="008D7251" w:rsidP="00407F20">
      <w:pPr>
        <w:pStyle w:val="PhDParagraph"/>
      </w:pPr>
      <w:r w:rsidRPr="00BB0F61">
        <w:t xml:space="preserve">There is, however, an argument that </w:t>
      </w:r>
      <w:r w:rsidR="00E07A11" w:rsidRPr="00E07A11">
        <w:t xml:space="preserve">self-insurance </w:t>
      </w:r>
      <w:r w:rsidRPr="00BB0F61">
        <w:t xml:space="preserve">could be permitted to cover the costs of </w:t>
      </w:r>
      <w:r w:rsidR="00407F20">
        <w:t xml:space="preserve">environmental liabilities associated with </w:t>
      </w:r>
      <w:r w:rsidRPr="00BB0F61">
        <w:t>environmental accidents. In this situation, the cost</w:t>
      </w:r>
      <w:r w:rsidR="00407F20">
        <w:t>s</w:t>
      </w:r>
      <w:r w:rsidR="0016697D">
        <w:t xml:space="preserve"> cannot be known ex ante.</w:t>
      </w:r>
      <w:r w:rsidRPr="00BB0F61">
        <w:t xml:space="preserve"> At best, it can be estimated, for example, by using </w:t>
      </w:r>
      <w:r w:rsidR="0034565B" w:rsidRPr="00BB0F61">
        <w:t>‘</w:t>
      </w:r>
      <w:r w:rsidRPr="00BB0F61">
        <w:t>worst case</w:t>
      </w:r>
      <w:r w:rsidR="0034565B" w:rsidRPr="00BB0F61">
        <w:t>’ damage</w:t>
      </w:r>
      <w:r w:rsidRPr="00BB0F61">
        <w:t xml:space="preserve"> analysis. To demand that an operator set</w:t>
      </w:r>
      <w:r w:rsidR="00296518">
        <w:t>s</w:t>
      </w:r>
      <w:r w:rsidRPr="00BB0F61">
        <w:t xml:space="preserve"> aside large levels of funds or assets to cover an event that may or may not occur </w:t>
      </w:r>
      <w:r w:rsidR="00407F20">
        <w:t>could be considered</w:t>
      </w:r>
      <w:r w:rsidRPr="00BB0F61">
        <w:t xml:space="preserve"> unduly strict, particularly where the company is larger than – or as large as – many insurers or banks.</w:t>
      </w:r>
      <w:r w:rsidR="0034565B" w:rsidRPr="00BB0F61">
        <w:t xml:space="preserve"> That said</w:t>
      </w:r>
      <w:proofErr w:type="gramStart"/>
      <w:r w:rsidR="0034565B" w:rsidRPr="00BB0F61">
        <w:t>,</w:t>
      </w:r>
      <w:proofErr w:type="gramEnd"/>
      <w:r w:rsidR="0034565B" w:rsidRPr="00BB0F61">
        <w:t xml:space="preserve"> the risk posed to society by </w:t>
      </w:r>
      <w:r w:rsidR="00407F20">
        <w:t>such an</w:t>
      </w:r>
      <w:r w:rsidR="0034565B" w:rsidRPr="00BB0F61">
        <w:t xml:space="preserve"> approach has been emphasised.</w:t>
      </w:r>
      <w:r w:rsidR="0034565B">
        <w:t xml:space="preserve"> </w:t>
      </w:r>
    </w:p>
    <w:p w:rsidR="00230D3D" w:rsidRPr="00C22696" w:rsidRDefault="000218FA" w:rsidP="007B5028">
      <w:pPr>
        <w:pStyle w:val="PhDParagraph"/>
        <w:rPr>
          <w:rFonts w:cs="Arial"/>
        </w:rPr>
      </w:pPr>
      <w:r>
        <w:t>The</w:t>
      </w:r>
      <w:r w:rsidR="005707E8">
        <w:t xml:space="preserve"> following briefly </w:t>
      </w:r>
      <w:r w:rsidR="003B06A7">
        <w:t>outlines</w:t>
      </w:r>
      <w:r w:rsidR="005707E8">
        <w:t xml:space="preserve"> some</w:t>
      </w:r>
      <w:r w:rsidR="00C22696">
        <w:t xml:space="preserve"> potential solutions to </w:t>
      </w:r>
      <w:r>
        <w:t xml:space="preserve">the problems raised by </w:t>
      </w:r>
      <w:r w:rsidR="00E07A11" w:rsidRPr="00E07A11">
        <w:t>self-insurance</w:t>
      </w:r>
      <w:r w:rsidR="00BB0F61">
        <w:t>.</w:t>
      </w:r>
      <w:r w:rsidR="005E0BD6">
        <w:t xml:space="preserve"> Firstly, to remedy the extrinsic factors which hinder </w:t>
      </w:r>
      <w:r w:rsidR="00E65DB6">
        <w:t>its</w:t>
      </w:r>
      <w:r w:rsidR="005E0BD6">
        <w:t xml:space="preserve"> remedial capacity, f</w:t>
      </w:r>
      <w:r w:rsidR="00230D3D" w:rsidRPr="001E2EC7">
        <w:t>urther</w:t>
      </w:r>
      <w:r w:rsidR="00230D3D" w:rsidRPr="007A3150">
        <w:t xml:space="preserve"> regulation </w:t>
      </w:r>
      <w:r w:rsidR="00C22696">
        <w:t>could be enacted</w:t>
      </w:r>
      <w:r w:rsidR="00230D3D">
        <w:t xml:space="preserve"> to require operators to set </w:t>
      </w:r>
      <w:r w:rsidR="00230D3D" w:rsidRPr="007A3150">
        <w:t>aside reserves which could be used</w:t>
      </w:r>
      <w:r w:rsidR="00230D3D" w:rsidRPr="00E33B57">
        <w:t xml:space="preserve"> only</w:t>
      </w:r>
      <w:r w:rsidR="00230D3D" w:rsidRPr="007A3150">
        <w:t xml:space="preserve"> </w:t>
      </w:r>
      <w:r w:rsidR="00230D3D">
        <w:t>to meet</w:t>
      </w:r>
      <w:r w:rsidR="00230D3D" w:rsidRPr="007A3150">
        <w:t xml:space="preserve"> environmental liabilities.</w:t>
      </w:r>
      <w:r w:rsidR="00230D3D" w:rsidRPr="007A3150">
        <w:rPr>
          <w:vertAlign w:val="superscript"/>
        </w:rPr>
        <w:footnoteReference w:id="215"/>
      </w:r>
      <w:r w:rsidR="00230D3D" w:rsidRPr="007A3150">
        <w:t xml:space="preserve"> </w:t>
      </w:r>
      <w:r w:rsidR="005E0BD6">
        <w:t>The operator could be required to</w:t>
      </w:r>
      <w:r w:rsidR="00230D3D">
        <w:t xml:space="preserve"> segregat</w:t>
      </w:r>
      <w:r w:rsidR="005E0BD6">
        <w:t>e a certain level of</w:t>
      </w:r>
      <w:r w:rsidR="00230D3D">
        <w:t xml:space="preserve"> a</w:t>
      </w:r>
      <w:r w:rsidR="005E0BD6">
        <w:t xml:space="preserve">ssets and/or funds, </w:t>
      </w:r>
      <w:r w:rsidR="00230D3D">
        <w:t>placing them</w:t>
      </w:r>
      <w:r w:rsidR="00230D3D" w:rsidRPr="007A3150">
        <w:t xml:space="preserve"> beyond the reach of creditors should it spiral into insolvency. </w:t>
      </w:r>
      <w:r w:rsidR="00230D3D">
        <w:t>Payments into a</w:t>
      </w:r>
      <w:r w:rsidR="00230D3D" w:rsidRPr="007A3150">
        <w:t xml:space="preserve"> </w:t>
      </w:r>
      <w:r w:rsidR="00230D3D">
        <w:t xml:space="preserve">segregated </w:t>
      </w:r>
      <w:r w:rsidR="00230D3D" w:rsidRPr="007A3150">
        <w:t>fund</w:t>
      </w:r>
      <w:r w:rsidR="004B6A90">
        <w:t>,</w:t>
      </w:r>
      <w:r w:rsidR="00230D3D">
        <w:t xml:space="preserve"> such as an environmental assurance bond in an interest-bearing escrow account</w:t>
      </w:r>
      <w:r w:rsidR="004B6A90">
        <w:t>,</w:t>
      </w:r>
      <w:r w:rsidR="00230D3D">
        <w:t xml:space="preserve"> would be returned</w:t>
      </w:r>
      <w:r w:rsidR="00230D3D" w:rsidRPr="007A3150">
        <w:t xml:space="preserve"> if the activity was undertaken without any damage occurring.</w:t>
      </w:r>
      <w:r w:rsidR="00230D3D" w:rsidRPr="007A3150">
        <w:rPr>
          <w:vertAlign w:val="superscript"/>
        </w:rPr>
        <w:footnoteReference w:id="216"/>
      </w:r>
      <w:r w:rsidR="00230D3D" w:rsidRPr="007A3150">
        <w:t xml:space="preserve"> </w:t>
      </w:r>
      <w:r w:rsidR="00230D3D">
        <w:t xml:space="preserve">This solution would, however, transform </w:t>
      </w:r>
      <w:r w:rsidR="00E07A11" w:rsidRPr="00E07A11">
        <w:t>self-insurance</w:t>
      </w:r>
      <w:r w:rsidR="00230D3D">
        <w:t xml:space="preserve"> into an entirely different form of financial security, with little resemblance to its traditional form. Indeed, many of the advantages associated with </w:t>
      </w:r>
      <w:r w:rsidR="00E07A11" w:rsidRPr="00E07A11">
        <w:t xml:space="preserve">self-insurance </w:t>
      </w:r>
      <w:r w:rsidR="00230D3D">
        <w:t xml:space="preserve">would be lost as a result. For example, a mandatory trust fund would sterilise the assets within it, </w:t>
      </w:r>
      <w:r w:rsidR="00230D3D">
        <w:lastRenderedPageBreak/>
        <w:t xml:space="preserve">meaning that they could not be used for the business operations or </w:t>
      </w:r>
      <w:r w:rsidR="005E0BD6">
        <w:t xml:space="preserve">as </w:t>
      </w:r>
      <w:r w:rsidR="00230D3D">
        <w:t>security to facilitate debt finance.</w:t>
      </w:r>
      <w:r w:rsidR="00230D3D" w:rsidRPr="00230D3D">
        <w:t xml:space="preserve"> </w:t>
      </w:r>
      <w:r w:rsidR="005E0BD6">
        <w:t xml:space="preserve">Secondly, </w:t>
      </w:r>
      <w:r w:rsidR="00230D3D" w:rsidRPr="00230D3D">
        <w:t>the priority of the statutory charge conferred by a variety of environmental</w:t>
      </w:r>
      <w:r w:rsidR="005E0BD6">
        <w:t xml:space="preserve"> liability</w:t>
      </w:r>
      <w:r w:rsidR="00230D3D" w:rsidRPr="00230D3D">
        <w:t xml:space="preserve"> frameworks</w:t>
      </w:r>
      <w:r w:rsidR="0001038F">
        <w:t xml:space="preserve"> could be capitalised upon</w:t>
      </w:r>
      <w:r w:rsidR="00230D3D" w:rsidRPr="00230D3D">
        <w:t xml:space="preserve">. </w:t>
      </w:r>
      <w:r w:rsidR="004B6A90">
        <w:t>To bolster the regulatory potential of such a charge t</w:t>
      </w:r>
      <w:r w:rsidR="00230D3D" w:rsidRPr="00230D3D">
        <w:t>he regulator could</w:t>
      </w:r>
      <w:r w:rsidR="004B6A90">
        <w:t xml:space="preserve"> </w:t>
      </w:r>
      <w:r w:rsidR="00230D3D" w:rsidRPr="00230D3D">
        <w:t xml:space="preserve">demand that the operator hold a particular value of </w:t>
      </w:r>
      <w:r w:rsidR="004D3179">
        <w:t>real</w:t>
      </w:r>
      <w:r w:rsidR="004D3179" w:rsidRPr="00230D3D">
        <w:t xml:space="preserve"> </w:t>
      </w:r>
      <w:r w:rsidR="00230D3D" w:rsidRPr="00230D3D">
        <w:t xml:space="preserve">property in </w:t>
      </w:r>
      <w:r w:rsidR="008E1F67">
        <w:t>the UK</w:t>
      </w:r>
      <w:r w:rsidR="00230D3D" w:rsidRPr="00230D3D">
        <w:t>. T</w:t>
      </w:r>
      <w:r w:rsidR="00341DD6">
        <w:t xml:space="preserve">he operator would have to seek </w:t>
      </w:r>
      <w:r w:rsidR="0006439C">
        <w:t xml:space="preserve">the </w:t>
      </w:r>
      <w:r w:rsidR="00230D3D" w:rsidRPr="00230D3D">
        <w:t>approval</w:t>
      </w:r>
      <w:r w:rsidR="0006439C">
        <w:t xml:space="preserve"> of the regulator</w:t>
      </w:r>
      <w:r w:rsidR="00230D3D" w:rsidRPr="00230D3D">
        <w:t>, not to be unreasonably withheld, before it disposed of any such property or the value of that property fell below the requisite level.</w:t>
      </w:r>
      <w:r w:rsidR="00C22696" w:rsidRPr="00C22696">
        <w:rPr>
          <w:rFonts w:cs="Arial"/>
        </w:rPr>
        <w:t xml:space="preserve"> </w:t>
      </w:r>
      <w:r w:rsidR="0006439C">
        <w:rPr>
          <w:rFonts w:cs="Arial"/>
        </w:rPr>
        <w:t>Finally</w:t>
      </w:r>
      <w:r w:rsidR="00C22696" w:rsidRPr="00C276D1">
        <w:rPr>
          <w:rFonts w:cs="Arial"/>
        </w:rPr>
        <w:t xml:space="preserve">, a combination of unrestricted funds that are immediately available to </w:t>
      </w:r>
      <w:r w:rsidR="00296518">
        <w:rPr>
          <w:rFonts w:cs="Arial"/>
        </w:rPr>
        <w:t xml:space="preserve">a </w:t>
      </w:r>
      <w:r w:rsidR="00C22696" w:rsidRPr="00C276D1">
        <w:rPr>
          <w:rFonts w:cs="Arial"/>
        </w:rPr>
        <w:t>regulator,</w:t>
      </w:r>
      <w:r w:rsidR="00C22696" w:rsidRPr="00C276D1">
        <w:rPr>
          <w:rStyle w:val="FootnoteReference"/>
          <w:rFonts w:cs="Arial"/>
        </w:rPr>
        <w:footnoteReference w:id="217"/>
      </w:r>
      <w:r w:rsidR="00C22696" w:rsidRPr="00C276D1">
        <w:rPr>
          <w:rFonts w:cs="Arial"/>
        </w:rPr>
        <w:t xml:space="preserve"> as well as </w:t>
      </w:r>
      <w:r w:rsidR="00E07A11" w:rsidRPr="00E07A11">
        <w:rPr>
          <w:rFonts w:cs="Arial"/>
        </w:rPr>
        <w:t>self-insurance</w:t>
      </w:r>
      <w:r w:rsidR="00341DD6">
        <w:rPr>
          <w:rFonts w:cs="Arial"/>
        </w:rPr>
        <w:t>,</w:t>
      </w:r>
      <w:r w:rsidR="00C22696" w:rsidRPr="00C276D1">
        <w:rPr>
          <w:rFonts w:cs="Arial"/>
        </w:rPr>
        <w:t xml:space="preserve"> would provide</w:t>
      </w:r>
      <w:r w:rsidR="00E65DB6">
        <w:rPr>
          <w:rFonts w:cs="Arial"/>
        </w:rPr>
        <w:t xml:space="preserve"> some degree of</w:t>
      </w:r>
      <w:r w:rsidR="00C22696" w:rsidRPr="00C276D1">
        <w:rPr>
          <w:rFonts w:cs="Arial"/>
        </w:rPr>
        <w:t xml:space="preserve"> mitigation if a </w:t>
      </w:r>
      <w:r w:rsidR="00E07A11">
        <w:rPr>
          <w:rFonts w:cs="Arial"/>
        </w:rPr>
        <w:t xml:space="preserve">self-insuring </w:t>
      </w:r>
      <w:r w:rsidR="00C22696" w:rsidRPr="00C276D1">
        <w:rPr>
          <w:rFonts w:cs="Arial"/>
        </w:rPr>
        <w:t>operator bec</w:t>
      </w:r>
      <w:r w:rsidR="00C22696">
        <w:rPr>
          <w:rFonts w:cs="Arial"/>
        </w:rPr>
        <w:t>ame insolvent.</w:t>
      </w:r>
    </w:p>
    <w:p w:rsidR="005E0BD6" w:rsidRDefault="00C22696" w:rsidP="00C22696">
      <w:pPr>
        <w:keepNext/>
        <w:spacing w:after="0" w:line="480" w:lineRule="auto"/>
        <w:ind w:firstLine="709"/>
        <w:jc w:val="both"/>
      </w:pPr>
      <w:r>
        <w:rPr>
          <w:rFonts w:ascii="Arial" w:hAnsi="Arial"/>
        </w:rPr>
        <w:t>S</w:t>
      </w:r>
      <w:r w:rsidR="00230D3D">
        <w:rPr>
          <w:rFonts w:ascii="Arial" w:hAnsi="Arial"/>
        </w:rPr>
        <w:t xml:space="preserve">ome fine-tuning of the measure could alleviate a number of </w:t>
      </w:r>
      <w:r>
        <w:rPr>
          <w:rFonts w:ascii="Arial" w:hAnsi="Arial"/>
        </w:rPr>
        <w:t xml:space="preserve">concerns relating to </w:t>
      </w:r>
      <w:r w:rsidR="00E07A11" w:rsidRPr="00E07A11">
        <w:rPr>
          <w:rFonts w:ascii="Arial" w:hAnsi="Arial"/>
        </w:rPr>
        <w:t>self-insurance</w:t>
      </w:r>
      <w:r w:rsidR="00341DD6">
        <w:rPr>
          <w:rFonts w:ascii="Arial" w:hAnsi="Arial"/>
        </w:rPr>
        <w:t>’</w:t>
      </w:r>
      <w:r>
        <w:rPr>
          <w:rFonts w:ascii="Arial" w:hAnsi="Arial"/>
        </w:rPr>
        <w:t>s intrinsic features</w:t>
      </w:r>
      <w:r w:rsidR="00230D3D">
        <w:rPr>
          <w:rFonts w:ascii="Arial" w:hAnsi="Arial"/>
        </w:rPr>
        <w:t xml:space="preserve">. For example, to </w:t>
      </w:r>
      <w:r w:rsidR="00230D3D" w:rsidRPr="00244B93">
        <w:rPr>
          <w:rFonts w:ascii="Arial" w:hAnsi="Arial" w:cs="Arial"/>
        </w:rPr>
        <w:t xml:space="preserve">prevent fraudulent assertions of financial strength, there could be </w:t>
      </w:r>
      <w:r w:rsidR="00230D3D">
        <w:rPr>
          <w:rFonts w:ascii="Arial" w:hAnsi="Arial" w:cs="Arial"/>
        </w:rPr>
        <w:t xml:space="preserve">increased </w:t>
      </w:r>
      <w:r w:rsidR="00230D3D" w:rsidRPr="00244B93">
        <w:rPr>
          <w:rFonts w:ascii="Arial" w:hAnsi="Arial" w:cs="Arial"/>
        </w:rPr>
        <w:t xml:space="preserve">reliance upon third-party audits or </w:t>
      </w:r>
      <w:r w:rsidR="00296518">
        <w:rPr>
          <w:rFonts w:ascii="Arial" w:hAnsi="Arial" w:cs="Arial"/>
        </w:rPr>
        <w:t xml:space="preserve">the introduction of strict civil liability and criminal sanctions if a </w:t>
      </w:r>
      <w:r w:rsidR="00230D3D" w:rsidRPr="00244B93">
        <w:rPr>
          <w:rFonts w:ascii="Arial" w:hAnsi="Arial" w:cs="Arial"/>
        </w:rPr>
        <w:t>corporate officer fil</w:t>
      </w:r>
      <w:r w:rsidR="00296518">
        <w:rPr>
          <w:rFonts w:ascii="Arial" w:hAnsi="Arial" w:cs="Arial"/>
        </w:rPr>
        <w:t>es</w:t>
      </w:r>
      <w:r w:rsidR="00230D3D" w:rsidRPr="00244B93">
        <w:rPr>
          <w:rFonts w:ascii="Arial" w:hAnsi="Arial" w:cs="Arial"/>
        </w:rPr>
        <w:t xml:space="preserve"> a false statement supporting the truthfulness and accuracy of key financial indicators.</w:t>
      </w:r>
      <w:r w:rsidR="00230D3D" w:rsidRPr="00244B93">
        <w:rPr>
          <w:rFonts w:ascii="Arial" w:hAnsi="Arial" w:cs="Arial"/>
          <w:vertAlign w:val="superscript"/>
        </w:rPr>
        <w:footnoteReference w:id="218"/>
      </w:r>
      <w:r w:rsidR="00230D3D" w:rsidRPr="00244B93">
        <w:rPr>
          <w:rFonts w:ascii="Arial" w:hAnsi="Arial" w:cs="Arial"/>
        </w:rPr>
        <w:t xml:space="preserve"> This is already required, for example, for hazardous waste facilities in the US where the owner’s or operator’s chief financial officer must submit a letter, accompanied, among ot</w:t>
      </w:r>
      <w:r w:rsidR="00230D3D">
        <w:rPr>
          <w:rFonts w:ascii="Arial" w:hAnsi="Arial" w:cs="Arial"/>
        </w:rPr>
        <w:t>her things, by a report from an</w:t>
      </w:r>
      <w:r w:rsidR="00230D3D" w:rsidRPr="00244B93">
        <w:rPr>
          <w:rFonts w:ascii="Arial" w:hAnsi="Arial" w:cs="Arial"/>
        </w:rPr>
        <w:t xml:space="preserve"> independent certified public accountant.</w:t>
      </w:r>
      <w:r w:rsidR="00230D3D" w:rsidRPr="00244B93">
        <w:rPr>
          <w:rStyle w:val="FootnoteReference"/>
          <w:rFonts w:ascii="Arial" w:hAnsi="Arial" w:cs="Arial"/>
        </w:rPr>
        <w:footnoteReference w:id="219"/>
      </w:r>
      <w:r w:rsidR="00230D3D">
        <w:rPr>
          <w:rFonts w:ascii="Arial" w:hAnsi="Arial" w:cs="Arial"/>
        </w:rPr>
        <w:t xml:space="preserve"> </w:t>
      </w:r>
      <w:r w:rsidR="00296518">
        <w:rPr>
          <w:rFonts w:ascii="Arial" w:hAnsi="Arial" w:cs="Arial"/>
        </w:rPr>
        <w:t xml:space="preserve">Another example is </w:t>
      </w:r>
      <w:r w:rsidR="006848F2">
        <w:rPr>
          <w:rFonts w:ascii="Arial" w:hAnsi="Arial" w:cs="Arial"/>
        </w:rPr>
        <w:t xml:space="preserve">found in </w:t>
      </w:r>
      <w:r w:rsidR="00296518">
        <w:rPr>
          <w:rFonts w:ascii="Arial" w:hAnsi="Arial" w:cs="Arial"/>
        </w:rPr>
        <w:t>t</w:t>
      </w:r>
      <w:r w:rsidR="00230D3D">
        <w:rPr>
          <w:rFonts w:ascii="Arial" w:hAnsi="Arial" w:cs="Arial"/>
        </w:rPr>
        <w:t>he Canadian Government</w:t>
      </w:r>
      <w:r w:rsidR="00296518">
        <w:rPr>
          <w:rFonts w:ascii="Arial" w:hAnsi="Arial" w:cs="Arial"/>
        </w:rPr>
        <w:t>’s</w:t>
      </w:r>
      <w:r w:rsidR="00230D3D">
        <w:rPr>
          <w:rFonts w:ascii="Arial" w:hAnsi="Arial" w:cs="Arial"/>
        </w:rPr>
        <w:t xml:space="preserve"> </w:t>
      </w:r>
      <w:r w:rsidR="006848F2">
        <w:rPr>
          <w:rFonts w:ascii="Arial" w:hAnsi="Arial" w:cs="Arial"/>
        </w:rPr>
        <w:t>guidelines in respect of f</w:t>
      </w:r>
      <w:r w:rsidR="00E811D9">
        <w:rPr>
          <w:rFonts w:ascii="Arial" w:hAnsi="Arial" w:cs="Arial"/>
        </w:rPr>
        <w:t xml:space="preserve">inancial </w:t>
      </w:r>
      <w:r w:rsidR="006848F2">
        <w:rPr>
          <w:rFonts w:ascii="Arial" w:hAnsi="Arial" w:cs="Arial"/>
        </w:rPr>
        <w:t>r</w:t>
      </w:r>
      <w:r w:rsidR="008D1EE3">
        <w:rPr>
          <w:rFonts w:ascii="Arial" w:hAnsi="Arial" w:cs="Arial"/>
        </w:rPr>
        <w:t>equirements</w:t>
      </w:r>
      <w:r w:rsidR="00230D3D" w:rsidRPr="00244B93">
        <w:rPr>
          <w:rFonts w:ascii="Arial" w:hAnsi="Arial" w:cs="Arial"/>
        </w:rPr>
        <w:t xml:space="preserve"> for offshore oil and gas operations</w:t>
      </w:r>
      <w:r w:rsidR="006848F2">
        <w:rPr>
          <w:rFonts w:ascii="Arial" w:hAnsi="Arial" w:cs="Arial"/>
        </w:rPr>
        <w:t>. They require</w:t>
      </w:r>
      <w:r w:rsidR="0031277E">
        <w:rPr>
          <w:rFonts w:ascii="Arial" w:hAnsi="Arial" w:cs="Arial"/>
        </w:rPr>
        <w:t xml:space="preserve"> that </w:t>
      </w:r>
      <w:r w:rsidR="008D1EE3">
        <w:rPr>
          <w:rFonts w:ascii="Arial" w:hAnsi="Arial" w:cs="Arial"/>
        </w:rPr>
        <w:t xml:space="preserve">a statement of net assets or funding arrangements must be signed </w:t>
      </w:r>
      <w:r w:rsidR="006848F2">
        <w:rPr>
          <w:rFonts w:ascii="Arial" w:hAnsi="Arial" w:cs="Arial"/>
        </w:rPr>
        <w:t xml:space="preserve">by </w:t>
      </w:r>
      <w:r w:rsidR="008D1EE3">
        <w:rPr>
          <w:rFonts w:ascii="Arial" w:hAnsi="Arial" w:cs="Arial"/>
        </w:rPr>
        <w:t>‘</w:t>
      </w:r>
      <w:r w:rsidR="008D1EE3" w:rsidRPr="008D1EE3">
        <w:rPr>
          <w:rFonts w:ascii="Arial" w:hAnsi="Arial" w:cs="Arial"/>
        </w:rPr>
        <w:t>the authorized financial officer</w:t>
      </w:r>
      <w:r w:rsidR="008D1EE3">
        <w:rPr>
          <w:rFonts w:ascii="Arial" w:hAnsi="Arial" w:cs="Arial"/>
        </w:rPr>
        <w:t>’</w:t>
      </w:r>
      <w:r w:rsidR="008D1EE3" w:rsidRPr="008D1EE3">
        <w:rPr>
          <w:rFonts w:ascii="Arial" w:hAnsi="Arial" w:cs="Arial"/>
        </w:rPr>
        <w:t xml:space="preserve"> of </w:t>
      </w:r>
      <w:r w:rsidR="008D1EE3">
        <w:rPr>
          <w:rFonts w:ascii="Arial" w:hAnsi="Arial" w:cs="Arial"/>
        </w:rPr>
        <w:t>the app</w:t>
      </w:r>
      <w:r w:rsidR="008D1EE3" w:rsidRPr="008D1EE3">
        <w:rPr>
          <w:rFonts w:ascii="Arial" w:hAnsi="Arial" w:cs="Arial"/>
        </w:rPr>
        <w:t>licant</w:t>
      </w:r>
      <w:r w:rsidR="00230D3D" w:rsidRPr="004A76B5">
        <w:rPr>
          <w:rFonts w:ascii="Arial" w:hAnsi="Arial" w:cs="Arial"/>
        </w:rPr>
        <w:t>.</w:t>
      </w:r>
      <w:r w:rsidR="00230D3D" w:rsidRPr="004A76B5">
        <w:rPr>
          <w:rStyle w:val="FootnoteReference"/>
          <w:rFonts w:ascii="Arial" w:hAnsi="Arial" w:cs="Arial"/>
        </w:rPr>
        <w:footnoteReference w:id="220"/>
      </w:r>
      <w:r w:rsidR="00230D3D" w:rsidRPr="004A76B5">
        <w:rPr>
          <w:rFonts w:ascii="Arial" w:hAnsi="Arial" w:cs="Arial"/>
        </w:rPr>
        <w:t xml:space="preserve"> Greater reliance on third-party audits may</w:t>
      </w:r>
      <w:r w:rsidR="00230D3D">
        <w:rPr>
          <w:rFonts w:ascii="Arial" w:hAnsi="Arial"/>
        </w:rPr>
        <w:t xml:space="preserve"> also aid resource-related concerns by requiring the operator to pay for external verification. </w:t>
      </w:r>
      <w:r w:rsidR="00230D3D">
        <w:rPr>
          <w:rFonts w:ascii="Arial" w:hAnsi="Arial"/>
        </w:rPr>
        <w:lastRenderedPageBreak/>
        <w:t xml:space="preserve">However, as we have seen </w:t>
      </w:r>
      <w:r w:rsidR="00230D3D" w:rsidRPr="002A0119">
        <w:rPr>
          <w:rFonts w:ascii="Arial" w:hAnsi="Arial" w:cs="Arial"/>
        </w:rPr>
        <w:t>following the recent economic crisis</w:t>
      </w:r>
      <w:r w:rsidR="00230D3D">
        <w:rPr>
          <w:rFonts w:ascii="Arial" w:hAnsi="Arial" w:cs="Arial"/>
        </w:rPr>
        <w:t>,</w:t>
      </w:r>
      <w:r w:rsidR="00230D3D">
        <w:rPr>
          <w:rFonts w:ascii="Arial" w:hAnsi="Arial"/>
        </w:rPr>
        <w:t xml:space="preserve"> the professional integrity and independence of financial auditors have come under scrutiny for their close relationship with industry, leading to</w:t>
      </w:r>
      <w:r w:rsidR="00230D3D" w:rsidRPr="002A0119">
        <w:rPr>
          <w:rFonts w:ascii="Arial" w:hAnsi="Arial" w:cs="Arial"/>
        </w:rPr>
        <w:t xml:space="preserve"> proposals for legislative reform </w:t>
      </w:r>
      <w:r w:rsidR="00230D3D">
        <w:rPr>
          <w:rFonts w:ascii="Arial" w:hAnsi="Arial" w:cs="Arial"/>
        </w:rPr>
        <w:t xml:space="preserve">by </w:t>
      </w:r>
      <w:r w:rsidR="00230D3D" w:rsidRPr="002A0119">
        <w:rPr>
          <w:rFonts w:ascii="Arial" w:hAnsi="Arial" w:cs="Arial"/>
        </w:rPr>
        <w:t>the European Commission.</w:t>
      </w:r>
      <w:r w:rsidR="00230D3D" w:rsidRPr="002A0119">
        <w:rPr>
          <w:rFonts w:ascii="Arial" w:hAnsi="Arial" w:cs="Arial"/>
          <w:vertAlign w:val="superscript"/>
        </w:rPr>
        <w:footnoteReference w:id="221"/>
      </w:r>
      <w:r w:rsidR="00230D3D">
        <w:rPr>
          <w:rFonts w:ascii="Arial" w:hAnsi="Arial" w:cs="Arial"/>
        </w:rPr>
        <w:t xml:space="preserve"> Thus, external verification would have to be monitored closely. It is also essential for clear guidance to be provided on the manner in which the underlying data should be derived so </w:t>
      </w:r>
      <w:r w:rsidR="00230D3D" w:rsidRPr="00510616">
        <w:rPr>
          <w:rFonts w:ascii="Arial" w:hAnsi="Arial" w:cs="Arial"/>
        </w:rPr>
        <w:t>as, amongst other things,</w:t>
      </w:r>
      <w:r w:rsidR="00230D3D" w:rsidRPr="00510616">
        <w:rPr>
          <w:rFonts w:ascii="Arial" w:hAnsi="Arial" w:cs="Arial"/>
          <w:i/>
        </w:rPr>
        <w:t xml:space="preserve"> </w:t>
      </w:r>
      <w:r w:rsidR="00230D3D" w:rsidRPr="0029631F">
        <w:rPr>
          <w:rFonts w:ascii="Arial" w:hAnsi="Arial" w:cs="Arial"/>
        </w:rPr>
        <w:t>to</w:t>
      </w:r>
      <w:r w:rsidR="00230D3D">
        <w:rPr>
          <w:rFonts w:ascii="Arial" w:hAnsi="Arial" w:cs="Arial"/>
        </w:rPr>
        <w:t xml:space="preserve"> permit transparency and commonality between operators.</w:t>
      </w:r>
      <w:r w:rsidRPr="00C22696">
        <w:t xml:space="preserve"> </w:t>
      </w:r>
    </w:p>
    <w:p w:rsidR="00C2717D" w:rsidRPr="00030530" w:rsidRDefault="00C22696" w:rsidP="00030530">
      <w:pPr>
        <w:keepNext/>
        <w:spacing w:after="0" w:line="480" w:lineRule="auto"/>
        <w:ind w:firstLine="709"/>
        <w:jc w:val="both"/>
        <w:rPr>
          <w:rFonts w:ascii="Arial" w:hAnsi="Arial" w:cs="Arial"/>
        </w:rPr>
      </w:pPr>
      <w:r w:rsidRPr="00C22696">
        <w:rPr>
          <w:rFonts w:ascii="Arial" w:hAnsi="Arial" w:cs="Arial"/>
        </w:rPr>
        <w:t xml:space="preserve">Inclusion of some of </w:t>
      </w:r>
      <w:r w:rsidR="00E059DE">
        <w:rPr>
          <w:rFonts w:ascii="Arial" w:hAnsi="Arial" w:cs="Arial"/>
        </w:rPr>
        <w:t>these solutions in England and Wales</w:t>
      </w:r>
      <w:r w:rsidRPr="00C22696">
        <w:rPr>
          <w:rFonts w:ascii="Arial" w:hAnsi="Arial" w:cs="Arial"/>
        </w:rPr>
        <w:t xml:space="preserve">, as applicable, would </w:t>
      </w:r>
      <w:r w:rsidR="00BB0F61">
        <w:rPr>
          <w:rFonts w:ascii="Arial" w:hAnsi="Arial" w:cs="Arial"/>
        </w:rPr>
        <w:t>lessen</w:t>
      </w:r>
      <w:r w:rsidRPr="00C22696">
        <w:rPr>
          <w:rFonts w:ascii="Arial" w:hAnsi="Arial" w:cs="Arial"/>
        </w:rPr>
        <w:t xml:space="preserve"> the risk of </w:t>
      </w:r>
      <w:r w:rsidR="00BB0F61">
        <w:rPr>
          <w:rFonts w:ascii="Arial" w:hAnsi="Arial" w:cs="Arial"/>
        </w:rPr>
        <w:t>the</w:t>
      </w:r>
      <w:r w:rsidRPr="00C22696">
        <w:rPr>
          <w:rFonts w:ascii="Arial" w:hAnsi="Arial" w:cs="Arial"/>
        </w:rPr>
        <w:t xml:space="preserve"> costs </w:t>
      </w:r>
      <w:r w:rsidR="00BB0F61">
        <w:rPr>
          <w:rFonts w:ascii="Arial" w:hAnsi="Arial" w:cs="Arial"/>
        </w:rPr>
        <w:t>associated with requisite restoration, reclamation or remediation works</w:t>
      </w:r>
      <w:r w:rsidRPr="00C22696">
        <w:rPr>
          <w:rFonts w:ascii="Arial" w:hAnsi="Arial" w:cs="Arial"/>
        </w:rPr>
        <w:t xml:space="preserve"> </w:t>
      </w:r>
      <w:r w:rsidR="00BB0F61">
        <w:rPr>
          <w:rFonts w:ascii="Arial" w:hAnsi="Arial" w:cs="Arial"/>
        </w:rPr>
        <w:t xml:space="preserve">being externalised to society as </w:t>
      </w:r>
      <w:r w:rsidR="00E059DE">
        <w:rPr>
          <w:rFonts w:ascii="Arial" w:hAnsi="Arial" w:cs="Arial"/>
        </w:rPr>
        <w:t>residual</w:t>
      </w:r>
      <w:r w:rsidR="00BB0F61">
        <w:rPr>
          <w:rFonts w:ascii="Arial" w:hAnsi="Arial" w:cs="Arial"/>
        </w:rPr>
        <w:t xml:space="preserve"> risk-bearer. </w:t>
      </w:r>
      <w:r w:rsidR="00E059DE">
        <w:rPr>
          <w:rFonts w:ascii="Arial" w:hAnsi="Arial" w:cs="Arial"/>
        </w:rPr>
        <w:t>This</w:t>
      </w:r>
      <w:r w:rsidR="00BB0F61">
        <w:rPr>
          <w:rFonts w:ascii="Arial" w:hAnsi="Arial" w:cs="Arial"/>
        </w:rPr>
        <w:t xml:space="preserve"> would</w:t>
      </w:r>
      <w:r w:rsidR="00830555">
        <w:rPr>
          <w:rFonts w:ascii="Arial" w:hAnsi="Arial" w:cs="Arial"/>
        </w:rPr>
        <w:t xml:space="preserve"> certainly</w:t>
      </w:r>
      <w:r w:rsidR="00BB0F61">
        <w:rPr>
          <w:rFonts w:ascii="Arial" w:hAnsi="Arial" w:cs="Arial"/>
        </w:rPr>
        <w:t xml:space="preserve"> </w:t>
      </w:r>
      <w:r w:rsidR="008E1F67">
        <w:rPr>
          <w:rFonts w:ascii="Arial" w:hAnsi="Arial" w:cs="Arial"/>
        </w:rPr>
        <w:t xml:space="preserve">render </w:t>
      </w:r>
      <w:r w:rsidR="00E07A11" w:rsidRPr="00E07A11">
        <w:rPr>
          <w:rFonts w:ascii="Arial" w:hAnsi="Arial" w:cs="Arial"/>
        </w:rPr>
        <w:t>self-insurance</w:t>
      </w:r>
      <w:r w:rsidR="008E1F67">
        <w:rPr>
          <w:rFonts w:ascii="Arial" w:hAnsi="Arial" w:cs="Arial"/>
        </w:rPr>
        <w:t xml:space="preserve"> a safer means of evidencing financial security than is currently the case.</w:t>
      </w:r>
    </w:p>
    <w:sectPr w:rsidR="00C2717D" w:rsidRPr="00030530" w:rsidSect="0007457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DB" w:rsidRDefault="00EB3ADB" w:rsidP="00B038DB">
      <w:pPr>
        <w:spacing w:after="0" w:line="240" w:lineRule="auto"/>
      </w:pPr>
      <w:r>
        <w:separator/>
      </w:r>
    </w:p>
  </w:endnote>
  <w:endnote w:type="continuationSeparator" w:id="0">
    <w:p w:rsidR="00EB3ADB" w:rsidRDefault="00EB3ADB" w:rsidP="00B0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Default="00EB3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31236"/>
      <w:docPartObj>
        <w:docPartGallery w:val="Page Numbers (Bottom of Page)"/>
        <w:docPartUnique/>
      </w:docPartObj>
    </w:sdtPr>
    <w:sdtEndPr>
      <w:rPr>
        <w:noProof/>
      </w:rPr>
    </w:sdtEndPr>
    <w:sdtContent>
      <w:p w:rsidR="00EB3ADB" w:rsidRDefault="00EB3ADB">
        <w:pPr>
          <w:pStyle w:val="Footer"/>
          <w:jc w:val="center"/>
        </w:pPr>
        <w:r>
          <w:fldChar w:fldCharType="begin"/>
        </w:r>
        <w:r>
          <w:instrText xml:space="preserve"> PAGE   \* MERGEFORMAT </w:instrText>
        </w:r>
        <w:r>
          <w:fldChar w:fldCharType="separate"/>
        </w:r>
        <w:r w:rsidR="00D232FB">
          <w:rPr>
            <w:noProof/>
          </w:rPr>
          <w:t>54</w:t>
        </w:r>
        <w:r>
          <w:rPr>
            <w:noProof/>
          </w:rPr>
          <w:fldChar w:fldCharType="end"/>
        </w:r>
      </w:p>
    </w:sdtContent>
  </w:sdt>
  <w:p w:rsidR="00EB3ADB" w:rsidRDefault="00EB3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Default="00EB3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DB" w:rsidRDefault="00EB3ADB" w:rsidP="00B038DB">
      <w:pPr>
        <w:spacing w:after="0" w:line="240" w:lineRule="auto"/>
      </w:pPr>
      <w:r>
        <w:separator/>
      </w:r>
    </w:p>
  </w:footnote>
  <w:footnote w:type="continuationSeparator" w:id="0">
    <w:p w:rsidR="00EB3ADB" w:rsidRDefault="00EB3ADB" w:rsidP="00B038DB">
      <w:pPr>
        <w:spacing w:after="0" w:line="240" w:lineRule="auto"/>
      </w:pPr>
      <w:r>
        <w:continuationSeparator/>
      </w:r>
    </w:p>
  </w:footnote>
  <w:footnote w:id="1">
    <w:p w:rsidR="006C6204" w:rsidRPr="002655D3" w:rsidRDefault="006C6204" w:rsidP="006C6204">
      <w:pPr>
        <w:pStyle w:val="PhDFootnotes"/>
      </w:pPr>
      <w:r w:rsidRPr="002655D3">
        <w:t>* Lecturer in Law, School of Law, University of Aberdeen, email: colin.mackie@abdn.ac.uk</w:t>
      </w:r>
    </w:p>
    <w:p w:rsidR="006C6204" w:rsidRDefault="006C6204" w:rsidP="004151B6">
      <w:pPr>
        <w:pStyle w:val="PhDFootnotes"/>
      </w:pPr>
      <w:r w:rsidRPr="002655D3">
        <w:t>** Professor, School of Law and Politics, Cardiff University; Consultant, Stevens &amp; Bolton LLP, email: FoglemanVM@cf.ac.uk / valerie.fogleman@stevens-bolton.com</w:t>
      </w:r>
    </w:p>
    <w:p w:rsidR="00EB3ADB" w:rsidRPr="000A2B77" w:rsidRDefault="00EB3ADB" w:rsidP="004151B6">
      <w:pPr>
        <w:pStyle w:val="PhDFootnotes"/>
      </w:pPr>
      <w:r w:rsidRPr="000A2B77">
        <w:rPr>
          <w:rStyle w:val="FootnoteReference"/>
        </w:rPr>
        <w:footnoteRef/>
      </w:r>
      <w:r w:rsidRPr="000A2B77">
        <w:t xml:space="preserve"> </w:t>
      </w:r>
      <w:r w:rsidRPr="000A2B77">
        <w:rPr>
          <w:rStyle w:val="PhDFootnotesChar"/>
        </w:rPr>
        <w:t>For the purpose of this article, the term ‘environmental liabilities’ refers to two categories of environmental costs: firstly, costs associated with preventing and/or remediating environmental damage resulting from an operator’s activities; and secondly, costs associated with obligations under a permit, licence or other authorisation to restore the environment following the termination of an activity or the closure of a facility.</w:t>
      </w:r>
    </w:p>
  </w:footnote>
  <w:footnote w:id="2">
    <w:p w:rsidR="00EB3ADB" w:rsidRPr="000A2B77" w:rsidRDefault="00EB3ADB" w:rsidP="004151B6">
      <w:pPr>
        <w:pStyle w:val="PhDFootnotes"/>
      </w:pPr>
      <w:r w:rsidRPr="000A2B77">
        <w:rPr>
          <w:rStyle w:val="FootnoteReference"/>
        </w:rPr>
        <w:footnoteRef/>
      </w:r>
      <w:r w:rsidRPr="000A2B77">
        <w:t xml:space="preserve"> See, e.g., Department for Environment, Food and Rural Affairs (Defra), ‘Government response to consultation on enhanced enforcement powers and other measures to tackle waste crime and entrenched poor performance in the waste management industry’ (October 2015) 33 (Defra noted views that ‘...operators and liquidators should be held responsible for ongoing compliance with an environmental permit which should not be capable of being disclaimed’).</w:t>
      </w:r>
    </w:p>
  </w:footnote>
  <w:footnote w:id="3">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Valerie Fogleman, </w:t>
      </w:r>
      <w:r w:rsidRPr="000A2B77">
        <w:rPr>
          <w:rFonts w:cs="Arial"/>
          <w:i/>
          <w:szCs w:val="16"/>
        </w:rPr>
        <w:t>Environmental Liabilities and Insurance in England and the United States, Part A</w:t>
      </w:r>
      <w:r w:rsidRPr="000A2B77">
        <w:rPr>
          <w:rFonts w:cs="Arial"/>
          <w:szCs w:val="16"/>
        </w:rPr>
        <w:t xml:space="preserve"> (1st edn Witherbys 2005) 114.</w:t>
      </w:r>
    </w:p>
  </w:footnote>
  <w:footnote w:id="4">
    <w:p w:rsidR="00EB3ADB" w:rsidRPr="000A2B77" w:rsidRDefault="00EB3ADB" w:rsidP="004151B6">
      <w:pPr>
        <w:pStyle w:val="PhDFootnotes"/>
      </w:pPr>
      <w:r w:rsidRPr="000A2B77">
        <w:rPr>
          <w:rStyle w:val="FootnoteReference"/>
          <w:szCs w:val="16"/>
        </w:rPr>
        <w:footnoteRef/>
      </w:r>
      <w:r w:rsidRPr="000A2B77">
        <w:t xml:space="preserve"> See, e.g., Directive 2006/21/EC on the management of waste from extractive industries [2006] OJ L102/15, art 14 (the ‘Mining Waste Directive’); Council Directive 1999/31/EC on the landfill of waste [1999] OJ L182/1 (the ‘Landfill Directive’), art  8(a)(iv); Directive 2009/31/EC on the geological storage of carbon dioxide [2009] OJ L140/114, art 19(1). </w:t>
      </w:r>
    </w:p>
  </w:footnote>
  <w:footnote w:id="5">
    <w:p w:rsidR="00EB3ADB" w:rsidRPr="000A2B77" w:rsidRDefault="00EB3ADB" w:rsidP="004151B6">
      <w:pPr>
        <w:pStyle w:val="PhDFootnotes"/>
      </w:pPr>
      <w:r w:rsidRPr="000A2B77">
        <w:rPr>
          <w:rStyle w:val="FootnoteReference"/>
        </w:rPr>
        <w:footnoteRef/>
      </w:r>
      <w:r w:rsidRPr="000A2B77">
        <w:t xml:space="preserve"> </w:t>
      </w:r>
      <w:r w:rsidRPr="000A2B77">
        <w:rPr>
          <w:rFonts w:cs="Arial"/>
        </w:rPr>
        <w:t>See, e.g. Convention on Civil Liability for Oil Pollution Damage (the ‘Civil Liability Convention’), art VII (mandatory insurance for liability for oil pollution required in the UK by Merchant Shipping Act 1995, s 163); Convention on Third Party Liability in the Field of Nuclear Energy 1960 (as amended) (the ‘Paris Convention’), art 10 (mandatory financial security for claims for bodily injury and property damage from nuclear matter required in the UK by Nuclear Installations Act 1965, s 19).</w:t>
      </w:r>
    </w:p>
  </w:footnote>
  <w:footnote w:id="6">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James Boyd, ‘Financial Responsibility for Environmental Obligations: Are Bonding and Assurance Rules Fulfilling Their Promise?’ (2001) Resources for the Future Discussion Paper 01–42, 20-21</w:t>
      </w:r>
    </w:p>
    <w:p w:rsidR="00EB3ADB" w:rsidRPr="000A2B77" w:rsidRDefault="00EB3ADB" w:rsidP="004151B6">
      <w:pPr>
        <w:pStyle w:val="PhDFootnotes"/>
        <w:rPr>
          <w:rFonts w:cs="Arial"/>
          <w:szCs w:val="16"/>
        </w:rPr>
      </w:pPr>
      <w:r w:rsidRPr="000A2B77">
        <w:rPr>
          <w:rFonts w:cs="Arial"/>
          <w:szCs w:val="16"/>
        </w:rPr>
        <w:t>&lt;</w:t>
      </w:r>
      <w:hyperlink r:id="rId1" w:history="1">
        <w:r w:rsidRPr="000A2B77">
          <w:rPr>
            <w:rStyle w:val="Hyperlink"/>
            <w:rFonts w:cs="Arial"/>
            <w:szCs w:val="16"/>
          </w:rPr>
          <w:t>http://www.rff.org/files/sharepoint/WorkImages/Download/RFF-DP-01-42.pdf</w:t>
        </w:r>
      </w:hyperlink>
      <w:r w:rsidRPr="000A2B77">
        <w:rPr>
          <w:rFonts w:cs="Arial"/>
          <w:szCs w:val="16"/>
        </w:rPr>
        <w:t>&gt; accessed 23 March 2016.</w:t>
      </w:r>
    </w:p>
  </w:footnote>
  <w:footnote w:id="7">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See, e.g., Department of Energy &amp; Climate Change (DECC), ‘Applications for Offshore Carbon Storage Licences’ (7 March 2011) para 32 (‘DECC must be confident that any company that receives a licence is likely to continue in sound financial health for the foreseeable future. Each company must...demonstrate its basic financial viability.’)</w:t>
      </w:r>
    </w:p>
    <w:p w:rsidR="00EB3ADB" w:rsidRPr="000A2B77" w:rsidRDefault="00EB3ADB" w:rsidP="004151B6">
      <w:pPr>
        <w:pStyle w:val="PhDFootnotes"/>
        <w:rPr>
          <w:rFonts w:cs="Arial"/>
          <w:szCs w:val="16"/>
        </w:rPr>
      </w:pPr>
      <w:r w:rsidRPr="000A2B77">
        <w:rPr>
          <w:rFonts w:cs="Arial"/>
          <w:szCs w:val="16"/>
        </w:rPr>
        <w:t>&lt;</w:t>
      </w:r>
      <w:hyperlink r:id="rId2" w:history="1">
        <w:r w:rsidRPr="000A2B77">
          <w:rPr>
            <w:rStyle w:val="Hyperlink"/>
            <w:rFonts w:cs="Arial"/>
            <w:szCs w:val="16"/>
          </w:rPr>
          <w:t>https://www.gov.uk/government/uploads/system/uploads/attachment_data/file/15085/cs-appformguide.doc.</w:t>
        </w:r>
      </w:hyperlink>
      <w:r>
        <w:rPr>
          <w:rFonts w:cs="Arial"/>
          <w:szCs w:val="16"/>
        </w:rPr>
        <w:t xml:space="preserve">&gt; </w:t>
      </w:r>
      <w:r w:rsidRPr="000A2B77">
        <w:rPr>
          <w:rFonts w:cs="Arial"/>
          <w:szCs w:val="16"/>
        </w:rPr>
        <w:t>accessed 23 March 2016. A similar requirement is demanded by the Oil and Gas Authority in respect of licences to carry out oil and gas operations in the UK: ‘Oil and Gas Authority – UK Petroleum Licensing: Financial Guidance’ (undated) para 1</w:t>
      </w:r>
    </w:p>
    <w:p w:rsidR="00EB3ADB" w:rsidRPr="000A2B77" w:rsidRDefault="00EB3ADB" w:rsidP="004151B6">
      <w:pPr>
        <w:pStyle w:val="PhDFootnotes"/>
        <w:rPr>
          <w:rFonts w:cs="Arial"/>
          <w:szCs w:val="16"/>
        </w:rPr>
      </w:pPr>
      <w:r w:rsidRPr="000A2B77">
        <w:rPr>
          <w:rFonts w:cs="Arial"/>
          <w:szCs w:val="16"/>
        </w:rPr>
        <w:t xml:space="preserve"> &lt;</w:t>
      </w:r>
      <w:hyperlink r:id="rId3" w:history="1">
        <w:r w:rsidRPr="000A2B77">
          <w:rPr>
            <w:rStyle w:val="Hyperlink"/>
            <w:rFonts w:cs="Arial"/>
            <w:szCs w:val="16"/>
          </w:rPr>
          <w:t>https://www.gov.uk/government/uploads/system/uploads/attachment_data/file/455523/FinancialGuidance.pdf</w:t>
        </w:r>
      </w:hyperlink>
      <w:r w:rsidRPr="000A2B77">
        <w:rPr>
          <w:rFonts w:cs="Arial"/>
          <w:szCs w:val="16"/>
        </w:rPr>
        <w:t>&gt; accessed 23 March 2016.</w:t>
      </w:r>
    </w:p>
  </w:footnote>
  <w:footnote w:id="8">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See, e.g. Michael Faure and David Grimeaud, </w:t>
      </w:r>
      <w:r w:rsidRPr="000A2B77">
        <w:rPr>
          <w:i/>
          <w:szCs w:val="16"/>
        </w:rPr>
        <w:t>Financial Assurance Issues of Environmental Liability</w:t>
      </w:r>
      <w:r w:rsidRPr="000A2B77">
        <w:rPr>
          <w:szCs w:val="16"/>
        </w:rPr>
        <w:t xml:space="preserve"> (2000) Report, Maastricht University and European Centre for Tort and Insurance Law </w:t>
      </w:r>
    </w:p>
    <w:p w:rsidR="00EB3ADB" w:rsidRPr="000A2B77" w:rsidRDefault="00EB3ADB" w:rsidP="004151B6">
      <w:pPr>
        <w:pStyle w:val="PhDFootnotes"/>
        <w:rPr>
          <w:szCs w:val="16"/>
        </w:rPr>
      </w:pPr>
      <w:r w:rsidRPr="000A2B77">
        <w:rPr>
          <w:szCs w:val="16"/>
        </w:rPr>
        <w:t>&lt;</w:t>
      </w:r>
      <w:hyperlink r:id="rId4" w:history="1">
        <w:r w:rsidRPr="000A2B77">
          <w:rPr>
            <w:rStyle w:val="Hyperlink"/>
            <w:szCs w:val="16"/>
          </w:rPr>
          <w:t>http://ec.europa.eu/environment/legal/liability/pdf/insurance_gen_finalrep.pdf</w:t>
        </w:r>
      </w:hyperlink>
      <w:r w:rsidRPr="000A2B77">
        <w:rPr>
          <w:szCs w:val="16"/>
        </w:rPr>
        <w:t>&gt; accessed 23 March 2016; David Gerard, ‘The law and economics of reclamation bonds’ (2000) 26 Resources Policy 189; Boyd, ‘Financial Responsibility’ (n 6); Michael Faure,</w:t>
      </w:r>
      <w:r w:rsidRPr="000A2B77">
        <w:t xml:space="preserve"> </w:t>
      </w:r>
      <w:r w:rsidRPr="000A2B77">
        <w:rPr>
          <w:szCs w:val="16"/>
        </w:rPr>
        <w:t>‘Alternative Compensation Mechanisms as Remedies for Uninsurability of Liability’ (2004) 29 Geneva Papers on Risk and Insurance Theory 3 455; Hubert Bocken, ‘Alternative Financial Guarantees for Environmental Liabilities under the ELD’ (2009) 18 EEELR 3 146.</w:t>
      </w:r>
    </w:p>
  </w:footnote>
  <w:footnote w:id="9">
    <w:p w:rsidR="00EB3ADB" w:rsidRPr="000A2B77" w:rsidRDefault="00EB3ADB" w:rsidP="004151B6">
      <w:pPr>
        <w:pStyle w:val="PhDFootnotes"/>
      </w:pPr>
      <w:r w:rsidRPr="000A2B77">
        <w:rPr>
          <w:rStyle w:val="FootnoteReference"/>
          <w:rFonts w:cs="Arial"/>
          <w:szCs w:val="16"/>
        </w:rPr>
        <w:footnoteRef/>
      </w:r>
      <w:r w:rsidRPr="000A2B77">
        <w:t xml:space="preserve"> Faure and Grimeaud (n 8)</w:t>
      </w:r>
      <w:r w:rsidRPr="000A2B77">
        <w:rPr>
          <w:i/>
        </w:rPr>
        <w:t xml:space="preserve"> </w:t>
      </w:r>
      <w:r w:rsidRPr="000A2B77">
        <w:t xml:space="preserve">180-181; </w:t>
      </w:r>
      <w:r w:rsidRPr="000A2B77">
        <w:rPr>
          <w:szCs w:val="16"/>
        </w:rPr>
        <w:t>Boyd, ‘Financial Responsibility’ (n 6)</w:t>
      </w:r>
      <w:r w:rsidRPr="000A2B77">
        <w:t xml:space="preserve"> 65-66; Faure, ‘Alternative Compensation Mechanisms’ (n 8) 459-460; United States Government Accountability Office (GAO), ‘Environmental Liabilities’ (GAO-05-658, 2005) 46</w:t>
      </w:r>
    </w:p>
    <w:p w:rsidR="00EB3ADB" w:rsidRPr="000A2B77" w:rsidRDefault="00EB3ADB" w:rsidP="004151B6">
      <w:pPr>
        <w:pStyle w:val="PhDFootnotes"/>
        <w:rPr>
          <w:i/>
        </w:rPr>
      </w:pPr>
      <w:r w:rsidRPr="000A2B77">
        <w:t>&lt;</w:t>
      </w:r>
      <w:hyperlink r:id="rId5" w:history="1">
        <w:r w:rsidRPr="000A2B77">
          <w:rPr>
            <w:rStyle w:val="Hyperlink"/>
          </w:rPr>
          <w:t>http://www.gao.gov/new.items/d05658.pdf</w:t>
        </w:r>
      </w:hyperlink>
      <w:r w:rsidRPr="000A2B77">
        <w:t>&gt; accessed 23 March 2016.</w:t>
      </w:r>
    </w:p>
  </w:footnote>
  <w:footnote w:id="10">
    <w:p w:rsidR="00EB3ADB" w:rsidRPr="000A2B77" w:rsidRDefault="00EB3ADB" w:rsidP="004151B6">
      <w:pPr>
        <w:pStyle w:val="PhDFootnotes"/>
      </w:pPr>
      <w:r w:rsidRPr="000A2B77">
        <w:rPr>
          <w:rStyle w:val="FootnoteReference"/>
          <w:szCs w:val="16"/>
        </w:rPr>
        <w:footnoteRef/>
      </w:r>
      <w:r w:rsidRPr="000A2B77">
        <w:rPr>
          <w:szCs w:val="16"/>
        </w:rPr>
        <w:t xml:space="preserve"> </w:t>
      </w:r>
      <w:proofErr w:type="gramStart"/>
      <w:r w:rsidRPr="000A2B77">
        <w:rPr>
          <w:szCs w:val="16"/>
        </w:rPr>
        <w:t>Commission, ‘White Paper on environmental liability’ COM (2000) 66 final [2.</w:t>
      </w:r>
      <w:r w:rsidRPr="000A2B77">
        <w:t>1].</w:t>
      </w:r>
      <w:proofErr w:type="gramEnd"/>
    </w:p>
  </w:footnote>
  <w:footnote w:id="11">
    <w:p w:rsidR="00EB3ADB" w:rsidRPr="000A2B77" w:rsidRDefault="00EB3ADB" w:rsidP="004151B6">
      <w:pPr>
        <w:pStyle w:val="PhDFootnotes"/>
      </w:pPr>
      <w:r w:rsidRPr="000A2B77">
        <w:rPr>
          <w:rStyle w:val="FootnoteReference"/>
          <w:rFonts w:cs="Arial"/>
          <w:szCs w:val="16"/>
        </w:rPr>
        <w:footnoteRef/>
      </w:r>
      <w:r w:rsidRPr="000A2B77">
        <w:t xml:space="preserve"> </w:t>
      </w:r>
      <w:proofErr w:type="gramStart"/>
      <w:r w:rsidRPr="000A2B77">
        <w:t>ibid [3.1].</w:t>
      </w:r>
      <w:proofErr w:type="gramEnd"/>
    </w:p>
  </w:footnote>
  <w:footnote w:id="12">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w:t>
      </w:r>
      <w:proofErr w:type="gramStart"/>
      <w:r w:rsidRPr="000A2B77">
        <w:rPr>
          <w:rFonts w:cs="Arial"/>
          <w:szCs w:val="16"/>
        </w:rPr>
        <w:t>For example, under the definition of ‘operator’ in reg 2(1) of The Environmental Damage (Prevention and Remediation) (England) Regulations 2015, SI 2015/810 (i.e. the person who ‘...operates or controls...’ the damaging activity).</w:t>
      </w:r>
      <w:proofErr w:type="gramEnd"/>
    </w:p>
  </w:footnote>
  <w:footnote w:id="13">
    <w:p w:rsidR="00EB3ADB" w:rsidRPr="000A2B77" w:rsidRDefault="00EB3ADB" w:rsidP="004151B6">
      <w:pPr>
        <w:pStyle w:val="PhDFootnotes"/>
      </w:pPr>
      <w:r w:rsidRPr="000A2B77">
        <w:rPr>
          <w:rStyle w:val="FootnoteReference"/>
          <w:rFonts w:cs="Arial"/>
          <w:szCs w:val="16"/>
        </w:rPr>
        <w:footnoteRef/>
      </w:r>
      <w:r w:rsidRPr="000A2B77">
        <w:t xml:space="preserve"> In </w:t>
      </w:r>
      <w:r w:rsidRPr="000A2B77">
        <w:rPr>
          <w:i/>
        </w:rPr>
        <w:t>Prest v Petrodel Resources Ltd</w:t>
      </w:r>
      <w:r w:rsidRPr="000A2B77">
        <w:t xml:space="preserve"> [2013] UKSC 34 the Supreme Court found that the corporate veil would only be pierced ‘...when a person is under an </w:t>
      </w:r>
      <w:r w:rsidRPr="000A2B77">
        <w:rPr>
          <w:i/>
        </w:rPr>
        <w:t>existing</w:t>
      </w:r>
      <w:r w:rsidRPr="000A2B77">
        <w:t xml:space="preserve"> legal obligation or liability or subject to an existing legal restriction which he deliberately evades or whose enforcement he deliberately frustrates by interposing a company under his control’: ibid 20-21 (Lord Sumption) (emphasis added). Thus, it seems that the strategic incorporation of a subsidiary to minimise the prospect of future financial liability for environmental damage would be insufficient to invoke the remedy.</w:t>
      </w:r>
    </w:p>
  </w:footnote>
  <w:footnote w:id="14">
    <w:p w:rsidR="00EB3ADB" w:rsidRPr="000A2B77" w:rsidRDefault="00EB3ADB" w:rsidP="004151B6">
      <w:pPr>
        <w:pStyle w:val="PhDFootnotes"/>
      </w:pPr>
      <w:r w:rsidRPr="000A2B77">
        <w:rPr>
          <w:rStyle w:val="FootnoteReference"/>
        </w:rPr>
        <w:footnoteRef/>
      </w:r>
      <w:r w:rsidRPr="000A2B77">
        <w:t xml:space="preserve"> Section 38A of the Petroleum Act 1998 enacts this form of protection in relation to security provided in respect of the costs associated with an approved decommissioning programme. See text accompanying fns 58-60.</w:t>
      </w:r>
    </w:p>
  </w:footnote>
  <w:footnote w:id="15">
    <w:p w:rsidR="00EB3ADB" w:rsidRPr="000A2B77" w:rsidRDefault="00EB3ADB" w:rsidP="004151B6">
      <w:pPr>
        <w:pStyle w:val="PhDFootnotes"/>
      </w:pPr>
      <w:r w:rsidRPr="000A2B77">
        <w:rPr>
          <w:rStyle w:val="FootnoteReference"/>
          <w:rFonts w:cs="Arial"/>
          <w:szCs w:val="16"/>
        </w:rPr>
        <w:footnoteRef/>
      </w:r>
      <w:r w:rsidRPr="000A2B77">
        <w:t xml:space="preserve"> See, e.g., Henry Hansmann and Reinier Kraakman, ‘Toward Unlimited Shareholder Liability for Corporate Torts’ (1991) Yale LJ (100) 1879; Janet Alexander, ‘Unlimited Shareholder Liability Through a Procedural Lens’ (1992) 106 Harvard L Rev 387; Rebecca Huss, ‘Revamping Veil Piercing for all Limited Liability Entities: Forcing the Common Law Doctrine into the Statutory Age’ (2001) 70 University of Cincinnati L Rev 95.</w:t>
      </w:r>
    </w:p>
  </w:footnote>
  <w:footnote w:id="16">
    <w:p w:rsidR="00EB3ADB" w:rsidRPr="000A2B77" w:rsidRDefault="00EB3ADB" w:rsidP="004151B6">
      <w:pPr>
        <w:pStyle w:val="PhDFootnotes"/>
      </w:pPr>
      <w:r w:rsidRPr="000A2B77">
        <w:rPr>
          <w:rStyle w:val="FootnoteReference"/>
        </w:rPr>
        <w:footnoteRef/>
      </w:r>
      <w:r w:rsidRPr="000A2B77">
        <w:t xml:space="preserve"> </w:t>
      </w:r>
      <w:proofErr w:type="gramStart"/>
      <w:r w:rsidRPr="000A2B77">
        <w:rPr>
          <w:rStyle w:val="PhDFootnotesChar"/>
        </w:rPr>
        <w:t>IA 1986, s 178(1).</w:t>
      </w:r>
      <w:proofErr w:type="gramEnd"/>
    </w:p>
  </w:footnote>
  <w:footnote w:id="17">
    <w:p w:rsidR="00EB3ADB" w:rsidRPr="000A2B77" w:rsidRDefault="00EB3ADB" w:rsidP="004151B6">
      <w:pPr>
        <w:pStyle w:val="PhDFootnotes"/>
      </w:pPr>
      <w:r w:rsidRPr="000A2B77">
        <w:rPr>
          <w:rStyle w:val="FootnoteReference"/>
        </w:rPr>
        <w:footnoteRef/>
      </w:r>
      <w:r w:rsidRPr="000A2B77">
        <w:t xml:space="preserve"> This paper does not cover, for example, financial security requirements contained within certain conventions to which the UK is a Contracting Party such as the Civil Liability Convention (n 5) art VII(1), or the Convention on Civil Liability for Bunker Oil Pollution Damage 2001, art 7(1).</w:t>
      </w:r>
    </w:p>
  </w:footnote>
  <w:footnote w:id="18">
    <w:p w:rsidR="00EB3ADB" w:rsidRPr="000A2B77" w:rsidRDefault="00EB3ADB" w:rsidP="004151B6">
      <w:pPr>
        <w:pStyle w:val="PhDFootnotes"/>
      </w:pPr>
      <w:r w:rsidRPr="000A2B77">
        <w:rPr>
          <w:rStyle w:val="FootnoteReference"/>
          <w:szCs w:val="16"/>
        </w:rPr>
        <w:footnoteRef/>
      </w:r>
      <w:r w:rsidRPr="000A2B77">
        <w:t xml:space="preserve"> </w:t>
      </w:r>
      <w:proofErr w:type="gramStart"/>
      <w:r w:rsidRPr="000A2B77">
        <w:t>Defra, Welsh Assembly and Department of the Environment, ‘Environmental Liability Directive; Consultation on options for implementing the Environmental Liability Directive’ (November 2006), 47, para 4.19.</w:t>
      </w:r>
      <w:proofErr w:type="gramEnd"/>
    </w:p>
  </w:footnote>
  <w:footnote w:id="19">
    <w:p w:rsidR="00EB3ADB" w:rsidRPr="000A2B77" w:rsidRDefault="00EB3ADB" w:rsidP="004151B6">
      <w:pPr>
        <w:pStyle w:val="PhDFootnotes"/>
      </w:pPr>
      <w:r w:rsidRPr="000A2B77">
        <w:rPr>
          <w:rStyle w:val="FootnoteReference"/>
          <w:szCs w:val="16"/>
        </w:rPr>
        <w:footnoteRef/>
      </w:r>
      <w:r w:rsidRPr="000A2B77">
        <w:t xml:space="preserve"> </w:t>
      </w:r>
      <w:proofErr w:type="gramStart"/>
      <w:r w:rsidRPr="000A2B77">
        <w:t>SI 2010/675 (as amended).</w:t>
      </w:r>
      <w:proofErr w:type="gramEnd"/>
    </w:p>
  </w:footnote>
  <w:footnote w:id="20">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proofErr w:type="gramStart"/>
      <w:r w:rsidRPr="000A2B77">
        <w:rPr>
          <w:rFonts w:cs="Arial"/>
          <w:szCs w:val="16"/>
        </w:rPr>
        <w:t>Defra, Welsh Government and Department of Energy &amp; Climate Change, ‘Environmental Permitting Guidance, Core Guidance for the Environmental Permitting (England and Wales) Regulations 2010’ (March 2013), 46, para 9.21.</w:t>
      </w:r>
      <w:proofErr w:type="gramEnd"/>
    </w:p>
  </w:footnote>
  <w:footnote w:id="21">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Mining Waste Directive; Commission Decision 2009/335/EC on the Technical guidelines for the establishment of the financial guarantee (2009) OJ L101/25.</w:t>
      </w:r>
    </w:p>
  </w:footnote>
  <w:footnote w:id="22">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Council Directive 2003/122/</w:t>
      </w:r>
      <w:proofErr w:type="gramStart"/>
      <w:r w:rsidRPr="000A2B77">
        <w:rPr>
          <w:rFonts w:cs="Arial"/>
          <w:szCs w:val="16"/>
        </w:rPr>
        <w:t>Euratom</w:t>
      </w:r>
      <w:proofErr w:type="gramEnd"/>
      <w:r w:rsidRPr="000A2B77">
        <w:rPr>
          <w:rFonts w:cs="Arial"/>
          <w:szCs w:val="16"/>
        </w:rPr>
        <w:t xml:space="preserve"> on the control of high-activity sealed radioactive sources and orphan sources [2003] OJ L346/57. </w:t>
      </w:r>
    </w:p>
  </w:footnote>
  <w:footnote w:id="23">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Core Guidance (n 20) 46, para 9.22.</w:t>
      </w:r>
    </w:p>
  </w:footnote>
  <w:footnote w:id="24">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Oil and Gas Authority, ‘Oil and gas: petroleum licensing guidance’ (28 January 2015) (‘OGA expects all offshore operators [who have licences under the Petroleum Act 1998] to be members of the Offshore Pollution Liability Association and to register each of its separate operatorships.’)</w:t>
      </w:r>
    </w:p>
    <w:p w:rsidR="00EB3ADB" w:rsidRPr="000A2B77" w:rsidRDefault="00EB3ADB" w:rsidP="004151B6">
      <w:pPr>
        <w:pStyle w:val="PhDFootnotes"/>
        <w:rPr>
          <w:szCs w:val="16"/>
        </w:rPr>
      </w:pPr>
      <w:r w:rsidRPr="000A2B77">
        <w:rPr>
          <w:szCs w:val="16"/>
        </w:rPr>
        <w:t>&lt;</w:t>
      </w:r>
      <w:hyperlink r:id="rId6" w:history="1">
        <w:r w:rsidRPr="000A2B77">
          <w:rPr>
            <w:rStyle w:val="Hyperlink"/>
            <w:szCs w:val="16"/>
          </w:rPr>
          <w:t>https://www.gov.uk/guidance/oil-and-gas-petroleum-licensing-guidance</w:t>
        </w:r>
      </w:hyperlink>
      <w:r w:rsidRPr="000A2B77">
        <w:rPr>
          <w:szCs w:val="16"/>
        </w:rPr>
        <w:t xml:space="preserve">&gt; accessed 23 March 2016. </w:t>
      </w:r>
    </w:p>
  </w:footnote>
  <w:footnote w:id="25">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Landfill Directive (n 4), art 8(a</w:t>
      </w:r>
      <w:proofErr w:type="gramStart"/>
      <w:r w:rsidRPr="000A2B77">
        <w:rPr>
          <w:rFonts w:cs="Arial"/>
          <w:szCs w:val="16"/>
        </w:rPr>
        <w:t>)(</w:t>
      </w:r>
      <w:proofErr w:type="gramEnd"/>
      <w:r w:rsidRPr="000A2B77">
        <w:rPr>
          <w:rFonts w:cs="Arial"/>
          <w:szCs w:val="16"/>
        </w:rPr>
        <w:t>iv).</w:t>
      </w:r>
    </w:p>
  </w:footnote>
  <w:footnote w:id="26">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proofErr w:type="gramStart"/>
      <w:r w:rsidRPr="000A2B77">
        <w:rPr>
          <w:rFonts w:cs="Arial"/>
          <w:szCs w:val="16"/>
        </w:rPr>
        <w:t>Environment Agency, ‘Guidance on Financial Provision for Landfill’ (EPR 5.02.2, 2011) 10, para 5.1.</w:t>
      </w:r>
      <w:proofErr w:type="gramEnd"/>
    </w:p>
  </w:footnote>
  <w:footnote w:id="27">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Environment Agency, ‘Financial Provision for Landfill’ (n 26) 4, para 1.3; see Landfill Directive (n 4) art 8(a</w:t>
      </w:r>
      <w:proofErr w:type="gramStart"/>
      <w:r w:rsidRPr="000A2B77">
        <w:rPr>
          <w:rFonts w:cs="Arial"/>
          <w:szCs w:val="16"/>
        </w:rPr>
        <w:t>)(</w:t>
      </w:r>
      <w:proofErr w:type="gramEnd"/>
      <w:r w:rsidRPr="000A2B77">
        <w:rPr>
          <w:rFonts w:cs="Arial"/>
          <w:szCs w:val="16"/>
        </w:rPr>
        <w:t>iv). The aftercare period for a hazardous or non-hazardous waste landfill is estimated at 60 years with three years for a landfill for inert waste: Financial Provision for Landfill (n 26) 6, paras 4.4-4.6.</w:t>
      </w:r>
    </w:p>
  </w:footnote>
  <w:footnote w:id="28">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Financial Provision for Landfill (n 26) 8, para 4.2.1; ibid 9, table 1.</w:t>
      </w:r>
    </w:p>
  </w:footnote>
  <w:footnote w:id="29">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proofErr w:type="gramStart"/>
      <w:r w:rsidRPr="000A2B77">
        <w:rPr>
          <w:rFonts w:cs="Arial"/>
          <w:szCs w:val="16"/>
        </w:rPr>
        <w:t>ibid 8, para 4.21.</w:t>
      </w:r>
      <w:proofErr w:type="gramEnd"/>
    </w:p>
  </w:footnote>
  <w:footnote w:id="30">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w:t>
      </w:r>
      <w:proofErr w:type="gramStart"/>
      <w:r w:rsidRPr="000A2B77">
        <w:rPr>
          <w:szCs w:val="16"/>
        </w:rPr>
        <w:t>ibid 10, para 5.3.</w:t>
      </w:r>
      <w:proofErr w:type="gramEnd"/>
    </w:p>
  </w:footnote>
  <w:footnote w:id="31">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proofErr w:type="gramStart"/>
      <w:r w:rsidRPr="000A2B77">
        <w:rPr>
          <w:rFonts w:cs="Arial"/>
          <w:szCs w:val="16"/>
        </w:rPr>
        <w:t>ibid 10, para 5.5.</w:t>
      </w:r>
      <w:proofErr w:type="gramEnd"/>
    </w:p>
  </w:footnote>
  <w:footnote w:id="32">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ibid 10, para 5.6; see ibid App 2, 20, s A2.1 (Treasurer of Environment Agency carries out ‘health checks’ of bondsmen and accepts only ‘...“investment-grade” ratings...’). The Agency refers such proposals to its Financial Provision Standing Group: ibid 10, para 5.6; see ibid 11, para 7.1 (group has representatives from Finance, Legal, Operations and Environment and Business directorates).</w:t>
      </w:r>
    </w:p>
  </w:footnote>
  <w:footnote w:id="33">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Council Directive 2003/122/Euratom on the control of high-activity sealed radioactive sources and orphan sources [2002] OJ L346/57, art 10.</w:t>
      </w:r>
    </w:p>
  </w:footnote>
  <w:footnote w:id="34">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Directive 2013/59/Euratom [2014] OJ L13/1, art 106(1).</w:t>
      </w:r>
    </w:p>
  </w:footnote>
  <w:footnote w:id="35">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ibid art 87(b) (emphasis added).</w:t>
      </w:r>
    </w:p>
  </w:footnote>
  <w:footnote w:id="36">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ibid art 95.</w:t>
      </w:r>
    </w:p>
  </w:footnote>
  <w:footnote w:id="37">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See Commission, ‘Experience gained in the implementation of Directive 2003/122/EURATOM on the control of high-activity sealed radioactive sources and orphan sources’ COM (2015) 158 final, 3 [2].</w:t>
      </w:r>
    </w:p>
  </w:footnote>
  <w:footnote w:id="38">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DECC, ‘High-activity Sealed Radioactive Sources and Orphan Sources Directive (Council Directive 2003/122/Euratom); Guidance to the Environment Agency’ (26 October 2005) paras 19-29. The publication date is incorrect. The guidance was first published on 12 October 2015.</w:t>
      </w:r>
    </w:p>
  </w:footnote>
  <w:footnote w:id="39">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ibid para 28.</w:t>
      </w:r>
    </w:p>
  </w:footnote>
  <w:footnote w:id="40">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See e.g. ibid paras 9, 19, 20, 28 and 30-39. The Agency’s former guidance on compliance with permits for sealed sources did not specify acceptable forms of financial provision but simply referred to the term ‘financial provision’: Environment Agency, ‘Environmental Permitting (England and Wales) Regulations 2010, How to comply with your EPR RSR environmental permit – sealed sources’ (April 2011) 12.</w:t>
      </w:r>
    </w:p>
  </w:footnote>
  <w:footnote w:id="41">
    <w:p w:rsidR="00EB3ADB" w:rsidRPr="000A2B77" w:rsidRDefault="00EB3ADB" w:rsidP="004151B6">
      <w:pPr>
        <w:pStyle w:val="PhDFootnotes"/>
        <w:rPr>
          <w:szCs w:val="16"/>
        </w:rPr>
      </w:pPr>
      <w:r w:rsidRPr="000A2B77">
        <w:rPr>
          <w:rStyle w:val="FootnoteReference"/>
          <w:szCs w:val="16"/>
        </w:rPr>
        <w:footnoteRef/>
      </w:r>
      <w:r w:rsidRPr="000A2B77">
        <w:t xml:space="preserve"> Mining Waste Directive, art 14(1). A Category A </w:t>
      </w:r>
      <w:r w:rsidRPr="000A2B77">
        <w:rPr>
          <w:szCs w:val="16"/>
        </w:rPr>
        <w:t>facility is one at which a failure or incorrect operation such as the collapse of a heap or dam could result in a major accident, or which contains hazardous waste or dangerous chemicals: ibid annex III.</w:t>
      </w:r>
    </w:p>
  </w:footnote>
  <w:footnote w:id="42">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ibid art 14(1)(a).</w:t>
      </w:r>
    </w:p>
  </w:footnote>
  <w:footnote w:id="43">
    <w:p w:rsidR="00EB3ADB" w:rsidRPr="000A2B77" w:rsidRDefault="00EB3ADB" w:rsidP="004151B6">
      <w:pPr>
        <w:pStyle w:val="PhDFootnotes"/>
      </w:pPr>
      <w:r w:rsidRPr="000A2B77">
        <w:rPr>
          <w:rStyle w:val="FootnoteReference"/>
          <w:szCs w:val="16"/>
        </w:rPr>
        <w:footnoteRef/>
      </w:r>
      <w:r w:rsidRPr="000A2B77">
        <w:rPr>
          <w:szCs w:val="16"/>
        </w:rPr>
        <w:t xml:space="preserve"> ibid art 14(1)(b); see Commission Decision on technical guidelines for the establishment of the financial guarantee in accordance with Directive 2006/21/EC concerning the management of waste from extractive industries [2009] OJ L101/25.</w:t>
      </w:r>
      <w:r w:rsidRPr="000A2B77">
        <w:t xml:space="preserve"> </w:t>
      </w:r>
    </w:p>
  </w:footnote>
  <w:footnote w:id="44">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Defra and the Welsh Government, ‘Environmental Permitting Guidance, The Mining Waste Directive for the Environmental Permitting (England and Wales) Regulations 2010’ (version 1.1, updated May 2010), 32, para 4.66.</w:t>
      </w:r>
    </w:p>
  </w:footnote>
  <w:footnote w:id="45">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Directive 2009/31/EC on the geological storage of carbon dioxide [2009] OJ L140/114, art 19(1). No permits for storage facilities have been issued in the UK as yet.</w:t>
      </w:r>
    </w:p>
  </w:footnote>
  <w:footnote w:id="46">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Commission, ‘Implementation of Directive 2009/31/EC on the Geological Storage of Carbon Dioxide, Guidance Document 4, Article 19 Financial Security and Article 20 Financial Mechanism’ (2011), ss 2.1 and 2.2.</w:t>
      </w:r>
    </w:p>
  </w:footnote>
  <w:footnote w:id="47">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ibid table 3.</w:t>
      </w:r>
    </w:p>
  </w:footnote>
  <w:footnote w:id="48">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ibid.</w:t>
      </w:r>
    </w:p>
  </w:footnote>
  <w:footnote w:id="49">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Oil and Gas Authority, ‘Oil and gas: petroleum licensing guidance’ (28 January 2015) (‘OGA expects all offshore operators to be members of the Offshore Pollution Liability Association and to register each of its separate ownerships’).</w:t>
      </w:r>
    </w:p>
  </w:footnote>
  <w:footnote w:id="50">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OPOL, ‘Offshore Pollution Liability Agreement’, cl IV(A) &lt;</w:t>
      </w:r>
      <w:hyperlink r:id="rId7" w:history="1">
        <w:r w:rsidRPr="000A2B77">
          <w:rPr>
            <w:rStyle w:val="Hyperlink"/>
            <w:szCs w:val="16"/>
          </w:rPr>
          <w:t>http://www.opol.org.uk/agreement.htm</w:t>
        </w:r>
      </w:hyperlink>
      <w:r w:rsidRPr="000A2B77">
        <w:rPr>
          <w:rFonts w:cs="Arial"/>
          <w:szCs w:val="16"/>
        </w:rPr>
        <w:t xml:space="preserve">&gt; (1 April 2016 version) accessed 23 March 2016. </w:t>
      </w:r>
    </w:p>
  </w:footnote>
  <w:footnote w:id="51">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OPOL, ‘Information for prospective members’ &lt;</w:t>
      </w:r>
      <w:hyperlink r:id="rId8" w:history="1">
        <w:r w:rsidRPr="000A2B77">
          <w:rPr>
            <w:rStyle w:val="Hyperlink"/>
            <w:szCs w:val="16"/>
          </w:rPr>
          <w:t>http://www.opol.org.uk/memberinfo.htm</w:t>
        </w:r>
      </w:hyperlink>
      <w:r w:rsidRPr="000A2B77">
        <w:rPr>
          <w:rFonts w:cs="Arial"/>
          <w:szCs w:val="16"/>
        </w:rPr>
        <w:t>&gt; accessed 23 March 2016.</w:t>
      </w:r>
    </w:p>
  </w:footnote>
  <w:footnote w:id="52">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OPOL, ‘FR-4, Verification of Self-Insurance’ &lt;</w:t>
      </w:r>
      <w:hyperlink r:id="rId9" w:history="1">
        <w:r w:rsidRPr="000A2B77">
          <w:rPr>
            <w:rStyle w:val="Hyperlink"/>
            <w:szCs w:val="16"/>
          </w:rPr>
          <w:t>http://www.opol.org.uk/forms.htm</w:t>
        </w:r>
      </w:hyperlink>
      <w:r w:rsidRPr="000A2B77">
        <w:rPr>
          <w:rFonts w:cs="Arial"/>
          <w:szCs w:val="16"/>
        </w:rPr>
        <w:t>&gt; accessed 23 March 2016.</w:t>
      </w:r>
    </w:p>
  </w:footnote>
  <w:footnote w:id="53">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r w:rsidRPr="000A2B77">
        <w:rPr>
          <w:rFonts w:eastAsia="Times New Roman" w:cs="Arial"/>
          <w:color w:val="000000"/>
          <w:szCs w:val="16"/>
          <w:lang w:eastAsia="fr-FR"/>
        </w:rPr>
        <w:t>Petroleum Act 1998, s 38(2) (as amended by the Energy Act 2008, s 73).</w:t>
      </w:r>
    </w:p>
  </w:footnote>
  <w:footnote w:id="54">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DECC, ‘Guidance Note to UK Offshore Oil and Gas Operators on the Demonstration of Financial Responsibility before Consent may be Granted for Exploration &amp; Appraisal Wells on the UKCS’ (effective on and from 1 January 2013) 2</w:t>
      </w:r>
    </w:p>
    <w:p w:rsidR="00EB3ADB" w:rsidRPr="000A2B77" w:rsidRDefault="00EB3ADB" w:rsidP="004151B6">
      <w:pPr>
        <w:pStyle w:val="PhDFootnotes"/>
        <w:rPr>
          <w:rFonts w:cs="Arial"/>
          <w:szCs w:val="16"/>
        </w:rPr>
      </w:pPr>
      <w:r w:rsidRPr="000A2B77">
        <w:rPr>
          <w:rFonts w:cs="Arial"/>
          <w:szCs w:val="16"/>
        </w:rPr>
        <w:t>&lt;</w:t>
      </w:r>
      <w:hyperlink r:id="rId10" w:history="1">
        <w:r w:rsidRPr="000A2B77">
          <w:rPr>
            <w:rFonts w:cs="Arial"/>
            <w:color w:val="1A0DAB"/>
            <w:szCs w:val="16"/>
          </w:rPr>
          <w:t>https://www.gov.uk/government/uploads/system/uploads/attachment_data/file/68885/7265--financial-responsibility-guidelines.doc</w:t>
        </w:r>
      </w:hyperlink>
      <w:r w:rsidRPr="000A2B77">
        <w:rPr>
          <w:rFonts w:cs="Arial"/>
          <w:szCs w:val="16"/>
        </w:rPr>
        <w:t>&gt; accessed 23 March 2016.</w:t>
      </w:r>
    </w:p>
  </w:footnote>
  <w:footnote w:id="55">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See OPOL website &lt;</w:t>
      </w:r>
      <w:hyperlink r:id="rId11" w:history="1">
        <w:r w:rsidRPr="000A2B77">
          <w:rPr>
            <w:rStyle w:val="Hyperlink"/>
            <w:rFonts w:cs="Arial"/>
            <w:szCs w:val="16"/>
          </w:rPr>
          <w:t>http://www.opol.org.uk/</w:t>
        </w:r>
      </w:hyperlink>
      <w:r w:rsidRPr="000A2B77">
        <w:rPr>
          <w:rFonts w:cs="Arial"/>
          <w:szCs w:val="16"/>
        </w:rPr>
        <w:t>&gt; accessed 23 March 2016.</w:t>
      </w:r>
    </w:p>
  </w:footnote>
  <w:footnote w:id="56">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proofErr w:type="gramStart"/>
      <w:r w:rsidRPr="000A2B77">
        <w:rPr>
          <w:rFonts w:cs="Arial"/>
          <w:szCs w:val="16"/>
        </w:rPr>
        <w:t>Petroleum Act 1998, s 30.</w:t>
      </w:r>
      <w:proofErr w:type="gramEnd"/>
      <w:r w:rsidRPr="000A2B77">
        <w:rPr>
          <w:rFonts w:cs="Arial"/>
          <w:szCs w:val="16"/>
        </w:rPr>
        <w:t xml:space="preserve"> </w:t>
      </w:r>
    </w:p>
  </w:footnote>
  <w:footnote w:id="57">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proofErr w:type="gramStart"/>
      <w:r w:rsidRPr="000A2B77">
        <w:rPr>
          <w:rFonts w:cs="Arial"/>
          <w:szCs w:val="16"/>
        </w:rPr>
        <w:t>ibid, s 38A; see James Phillips and Rosie Lord, ‘Oil and gas decommissioning’ (</w:t>
      </w:r>
      <w:r w:rsidRPr="000B6658">
        <w:rPr>
          <w:rFonts w:cs="Arial"/>
          <w:i/>
          <w:szCs w:val="16"/>
        </w:rPr>
        <w:t>The</w:t>
      </w:r>
      <w:r>
        <w:rPr>
          <w:rFonts w:cs="Arial"/>
          <w:szCs w:val="16"/>
        </w:rPr>
        <w:t xml:space="preserve"> </w:t>
      </w:r>
      <w:r>
        <w:rPr>
          <w:rFonts w:cs="Arial"/>
          <w:i/>
          <w:szCs w:val="16"/>
        </w:rPr>
        <w:t>In-H</w:t>
      </w:r>
      <w:r w:rsidRPr="000B6658">
        <w:rPr>
          <w:rFonts w:cs="Arial"/>
          <w:i/>
          <w:szCs w:val="16"/>
        </w:rPr>
        <w:t>ouse Lawyer</w:t>
      </w:r>
      <w:r>
        <w:rPr>
          <w:rFonts w:cs="Arial"/>
          <w:szCs w:val="16"/>
        </w:rPr>
        <w:t>,</w:t>
      </w:r>
      <w:r w:rsidRPr="000A2B77">
        <w:rPr>
          <w:rFonts w:cs="Arial"/>
          <w:szCs w:val="16"/>
        </w:rPr>
        <w:t xml:space="preserve"> 15 May 2012) &lt;</w:t>
      </w:r>
      <w:hyperlink r:id="rId12" w:history="1">
        <w:r w:rsidRPr="000A2B77">
          <w:rPr>
            <w:rStyle w:val="Hyperlink"/>
            <w:rFonts w:cs="Arial"/>
            <w:szCs w:val="16"/>
          </w:rPr>
          <w:t>http://www.inhouselawyer.co.uk/index.php/environment/9847-oil-and-gas-decommissioning</w:t>
        </w:r>
      </w:hyperlink>
      <w:r w:rsidRPr="000A2B77">
        <w:rPr>
          <w:rFonts w:cs="Arial"/>
          <w:szCs w:val="16"/>
        </w:rPr>
        <w:t>&gt; accessed 23 March 2016.</w:t>
      </w:r>
      <w:proofErr w:type="gramEnd"/>
      <w:r w:rsidRPr="000A2B77">
        <w:rPr>
          <w:rFonts w:cs="Arial"/>
          <w:szCs w:val="16"/>
        </w:rPr>
        <w:t xml:space="preserve"> Every three years, the decommissioning costs plus the net value of remaining recoverable reserves used to calculate the required levels of financial security must be estimated, with the potential for annual estimate depending on the time scales of the project. The audit process must be verified by a DECC-approved independent expert: DECC, ‘Guidance Notes, Decommissioning of Offshore Oil and Gas Installations and Pipelines under the Petroleum Act 1998’ (URN 09D/734, version 6, March 2011), Annex G, 120. A section 29 notice may be withdrawn from a company that leaves the group, for example if it sells its shares: ibid Annex F, 102-09. The Secretary may determine, however, that the company remains liable if adequate financial security is no longer considered to exist: Petroleum Act 1998, s 38(4); see Guidance Notes 109-10. The allocation of costs between section 29 notice holders is subject to contractual agreements between them, which may be governed by a standard decommissioning security agreement: see Guidance Notes Annex G, 117-18; HM Revenue &amp; Customs, ‘OT28601 - Decommissioning and abandonment: decommissioning security agreements: introduction’ </w:t>
      </w:r>
    </w:p>
    <w:p w:rsidR="00EB3ADB" w:rsidRPr="000A2B77" w:rsidRDefault="00EB3ADB" w:rsidP="004151B6">
      <w:pPr>
        <w:pStyle w:val="PhDFootnotes"/>
        <w:rPr>
          <w:rFonts w:cs="Arial"/>
          <w:szCs w:val="16"/>
        </w:rPr>
      </w:pPr>
      <w:r w:rsidRPr="000A2B77">
        <w:rPr>
          <w:rFonts w:cs="Arial"/>
          <w:szCs w:val="16"/>
        </w:rPr>
        <w:t>&lt;</w:t>
      </w:r>
      <w:hyperlink r:id="rId13" w:history="1">
        <w:r w:rsidRPr="000A2B77">
          <w:rPr>
            <w:rStyle w:val="Hyperlink"/>
            <w:rFonts w:cs="Arial"/>
            <w:szCs w:val="16"/>
          </w:rPr>
          <w:t>http://www.hmrc.gov.uk/manuals/otmanual/ot28601.htm</w:t>
        </w:r>
      </w:hyperlink>
      <w:r w:rsidRPr="000A2B77">
        <w:rPr>
          <w:rFonts w:cs="Arial"/>
          <w:szCs w:val="16"/>
        </w:rPr>
        <w:t>&gt; accessed 23 March 2016.</w:t>
      </w:r>
    </w:p>
  </w:footnote>
  <w:footnote w:id="58">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Petroleum Act 1998, s </w:t>
      </w:r>
      <w:proofErr w:type="gramStart"/>
      <w:r w:rsidRPr="000A2B77">
        <w:rPr>
          <w:rFonts w:cs="Arial"/>
          <w:szCs w:val="16"/>
        </w:rPr>
        <w:t>38A(</w:t>
      </w:r>
      <w:proofErr w:type="gramEnd"/>
      <w:r w:rsidRPr="000A2B77">
        <w:rPr>
          <w:rFonts w:cs="Arial"/>
          <w:szCs w:val="16"/>
        </w:rPr>
        <w:t xml:space="preserve">6). </w:t>
      </w:r>
    </w:p>
  </w:footnote>
  <w:footnote w:id="59">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ibid s </w:t>
      </w:r>
      <w:proofErr w:type="gramStart"/>
      <w:r w:rsidRPr="000A2B77">
        <w:rPr>
          <w:rFonts w:cs="Arial"/>
          <w:szCs w:val="16"/>
        </w:rPr>
        <w:t>38A(</w:t>
      </w:r>
      <w:proofErr w:type="gramEnd"/>
      <w:r w:rsidRPr="000A2B77">
        <w:rPr>
          <w:rFonts w:cs="Arial"/>
          <w:szCs w:val="16"/>
        </w:rPr>
        <w:t xml:space="preserve">1). </w:t>
      </w:r>
    </w:p>
  </w:footnote>
  <w:footnote w:id="60">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ibid s </w:t>
      </w:r>
      <w:proofErr w:type="gramStart"/>
      <w:r w:rsidRPr="000A2B77">
        <w:rPr>
          <w:rFonts w:cs="Arial"/>
          <w:szCs w:val="16"/>
        </w:rPr>
        <w:t>38A(</w:t>
      </w:r>
      <w:proofErr w:type="gramEnd"/>
      <w:r w:rsidRPr="000A2B77">
        <w:rPr>
          <w:rFonts w:cs="Arial"/>
          <w:szCs w:val="16"/>
        </w:rPr>
        <w:t xml:space="preserve">4). </w:t>
      </w:r>
    </w:p>
  </w:footnote>
  <w:footnote w:id="61">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proofErr w:type="gramStart"/>
      <w:r w:rsidRPr="000A2B77">
        <w:rPr>
          <w:rFonts w:cs="Arial"/>
          <w:szCs w:val="16"/>
        </w:rPr>
        <w:t>Offshore Oil and Gas Guidance Notes (n 57) 118.</w:t>
      </w:r>
      <w:proofErr w:type="gramEnd"/>
      <w:r w:rsidRPr="000A2B77">
        <w:rPr>
          <w:rFonts w:cs="Arial"/>
          <w:szCs w:val="16"/>
        </w:rPr>
        <w:t xml:space="preserve"> A ‘Prime Bank’ is a bank established in a member country of the OECD with at least an ‘AA’ rating by </w:t>
      </w:r>
      <w:proofErr w:type="gramStart"/>
      <w:r w:rsidRPr="000A2B77">
        <w:rPr>
          <w:rFonts w:cs="Arial"/>
          <w:szCs w:val="16"/>
        </w:rPr>
        <w:t>Standard</w:t>
      </w:r>
      <w:proofErr w:type="gramEnd"/>
      <w:r w:rsidRPr="000A2B77">
        <w:rPr>
          <w:rFonts w:cs="Arial"/>
          <w:szCs w:val="16"/>
        </w:rPr>
        <w:t xml:space="preserve"> and Poor’s, an ‘Aa2’ by Moody’s, or an equivalent rating by another recognised rating agency. See DECC, ‘Decommissioning of offshore renewable energy installations under the Energy Act 2004: Guidance notes for industry’ (January 2011, revised), 31, </w:t>
      </w:r>
      <w:proofErr w:type="spellStart"/>
      <w:proofErr w:type="gramStart"/>
      <w:r w:rsidRPr="000A2B77">
        <w:rPr>
          <w:rFonts w:cs="Arial"/>
          <w:szCs w:val="16"/>
        </w:rPr>
        <w:t>fn</w:t>
      </w:r>
      <w:proofErr w:type="spellEnd"/>
      <w:proofErr w:type="gramEnd"/>
      <w:r w:rsidRPr="000A2B77">
        <w:rPr>
          <w:rFonts w:cs="Arial"/>
          <w:szCs w:val="16"/>
        </w:rPr>
        <w:t xml:space="preserve"> 16.</w:t>
      </w:r>
    </w:p>
  </w:footnote>
  <w:footnote w:id="62">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proofErr w:type="gramStart"/>
      <w:r w:rsidRPr="000A2B77">
        <w:rPr>
          <w:rFonts w:cs="Arial"/>
          <w:szCs w:val="16"/>
        </w:rPr>
        <w:t>Offshore Oil and Gas Guidance Notes (n 57) 119.</w:t>
      </w:r>
      <w:proofErr w:type="gramEnd"/>
    </w:p>
  </w:footnote>
  <w:footnote w:id="63">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ibid.</w:t>
      </w:r>
    </w:p>
  </w:footnote>
  <w:footnote w:id="64">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proofErr w:type="gramStart"/>
      <w:r w:rsidRPr="000A2B77">
        <w:rPr>
          <w:rFonts w:cs="Arial"/>
          <w:szCs w:val="16"/>
        </w:rPr>
        <w:t>ibid 109.</w:t>
      </w:r>
      <w:proofErr w:type="gramEnd"/>
    </w:p>
  </w:footnote>
  <w:footnote w:id="65">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proofErr w:type="gramStart"/>
      <w:r w:rsidRPr="000A2B77">
        <w:rPr>
          <w:rFonts w:cs="Arial"/>
          <w:szCs w:val="16"/>
        </w:rPr>
        <w:t>Energy Act 2004, ss 106(4) and 108(10).</w:t>
      </w:r>
      <w:proofErr w:type="gramEnd"/>
    </w:p>
  </w:footnote>
  <w:footnote w:id="66">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DECC, ‘Offshore Renewable Energy Guidance Notes’ (n 61) 31. </w:t>
      </w:r>
    </w:p>
  </w:footnote>
  <w:footnote w:id="67">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proofErr w:type="gramStart"/>
      <w:r w:rsidRPr="000A2B77">
        <w:rPr>
          <w:rFonts w:cs="Arial"/>
          <w:szCs w:val="16"/>
        </w:rPr>
        <w:t>ibid 31-32.</w:t>
      </w:r>
      <w:proofErr w:type="gramEnd"/>
    </w:p>
  </w:footnote>
  <w:footnote w:id="68">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proofErr w:type="gramStart"/>
      <w:r w:rsidRPr="000A2B77">
        <w:rPr>
          <w:rFonts w:cs="Arial"/>
          <w:szCs w:val="16"/>
        </w:rPr>
        <w:t>Energy Act 2004, s 110A.</w:t>
      </w:r>
      <w:proofErr w:type="gramEnd"/>
    </w:p>
  </w:footnote>
  <w:footnote w:id="69">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DECC, ‘Offshore Renewable Energy Guidance Notes’ (n 61) 31-32. Independent audits using third party experts may be required, with their timing and frequency to be decided on a case-by-case basis: ibid 33.</w:t>
      </w:r>
    </w:p>
  </w:footnote>
  <w:footnote w:id="70">
    <w:p w:rsidR="00EB3ADB" w:rsidRPr="000A2B77" w:rsidRDefault="00EB3ADB" w:rsidP="004151B6">
      <w:pPr>
        <w:pStyle w:val="PhDFootnotes"/>
        <w:rPr>
          <w:rFonts w:cs="Arial"/>
          <w:szCs w:val="16"/>
        </w:rPr>
      </w:pPr>
      <w:r w:rsidRPr="000A2B77">
        <w:rPr>
          <w:rStyle w:val="FootnoteReference"/>
          <w:szCs w:val="16"/>
        </w:rPr>
        <w:footnoteRef/>
      </w:r>
      <w:r w:rsidRPr="000A2B77">
        <w:rPr>
          <w:rFonts w:cs="Arial"/>
          <w:szCs w:val="16"/>
        </w:rPr>
        <w:t xml:space="preserve"> </w:t>
      </w:r>
      <w:proofErr w:type="gramStart"/>
      <w:r w:rsidRPr="000A2B77">
        <w:rPr>
          <w:rFonts w:cs="Arial"/>
          <w:szCs w:val="16"/>
        </w:rPr>
        <w:t>ibid 32.</w:t>
      </w:r>
      <w:proofErr w:type="gramEnd"/>
    </w:p>
  </w:footnote>
  <w:footnote w:id="71">
    <w:p w:rsidR="00EB3ADB" w:rsidRPr="000A2B77" w:rsidRDefault="00EB3ADB" w:rsidP="004151B6">
      <w:pPr>
        <w:pStyle w:val="PhDFootnotes"/>
      </w:pPr>
      <w:r w:rsidRPr="000A2B77">
        <w:rPr>
          <w:rStyle w:val="FootnoteReference"/>
        </w:rPr>
        <w:footnoteRef/>
      </w:r>
      <w:r w:rsidRPr="000A2B77">
        <w:t xml:space="preserve"> For a discussion of the capacity of self-insurance to reduce the probability that an operators activities will cause an environmental accident see Colin Mackie, ‘The Regulatory Potential of Financial Security to Reduce Environmental Risk’ (2014) 26 JEL 2 189.</w:t>
      </w:r>
    </w:p>
  </w:footnote>
  <w:footnote w:id="72">
    <w:p w:rsidR="00EB3ADB" w:rsidRPr="000A2B77" w:rsidRDefault="00EB3ADB" w:rsidP="004151B6">
      <w:pPr>
        <w:pStyle w:val="PhDFootnotes"/>
      </w:pPr>
      <w:r w:rsidRPr="000A2B77">
        <w:rPr>
          <w:rStyle w:val="FootnoteReference"/>
          <w:rFonts w:cs="Arial"/>
        </w:rPr>
        <w:footnoteRef/>
      </w:r>
      <w:r w:rsidRPr="000A2B77">
        <w:t xml:space="preserve"> Steven Shavell, ‘Minimum asset requirements and compulsory liability insurance as solutions to the judgment-proof problem’ (2005) 36 RAND Journal of Economics 1 63, 67.</w:t>
      </w:r>
    </w:p>
  </w:footnote>
  <w:footnote w:id="73">
    <w:p w:rsidR="00EB3ADB" w:rsidRPr="000A2B77" w:rsidRDefault="00EB3ADB" w:rsidP="004151B6">
      <w:pPr>
        <w:pStyle w:val="PhDFootnotes"/>
      </w:pPr>
      <w:r w:rsidRPr="000A2B77">
        <w:rPr>
          <w:rStyle w:val="FootnoteReference"/>
          <w:rFonts w:cs="Arial"/>
        </w:rPr>
        <w:footnoteRef/>
      </w:r>
      <w:r w:rsidRPr="000A2B77">
        <w:t xml:space="preserve"> ibid.</w:t>
      </w:r>
    </w:p>
  </w:footnote>
  <w:footnote w:id="74">
    <w:p w:rsidR="00EB3ADB" w:rsidRPr="000A2B77" w:rsidRDefault="00EB3ADB" w:rsidP="004151B6">
      <w:pPr>
        <w:pStyle w:val="PhDFootnotes"/>
      </w:pPr>
      <w:r w:rsidRPr="000A2B77">
        <w:rPr>
          <w:rStyle w:val="FootnoteReference"/>
          <w:rFonts w:cs="Arial"/>
        </w:rPr>
        <w:footnoteRef/>
      </w:r>
      <w:r w:rsidRPr="000A2B77">
        <w:t xml:space="preserve"> </w:t>
      </w:r>
      <w:r w:rsidRPr="000A2B77">
        <w:rPr>
          <w:szCs w:val="16"/>
        </w:rPr>
        <w:t xml:space="preserve">J Boyd, </w:t>
      </w:r>
      <w:r w:rsidRPr="000A2B77">
        <w:t xml:space="preserve">‘‘Green Money’ in the Bank: Firm Responses to Environmental Financial Responsibility Rules’ (1997) 18 Managerial and Decision Economics 6 491, </w:t>
      </w:r>
      <w:r w:rsidRPr="000A2B77">
        <w:rPr>
          <w:szCs w:val="16"/>
        </w:rPr>
        <w:t>493</w:t>
      </w:r>
      <w:r w:rsidRPr="000A2B77">
        <w:t>.</w:t>
      </w:r>
    </w:p>
  </w:footnote>
  <w:footnote w:id="75">
    <w:p w:rsidR="00EB3ADB" w:rsidRPr="000A2B77" w:rsidRDefault="00EB3ADB" w:rsidP="004151B6">
      <w:pPr>
        <w:pStyle w:val="PhDFootnotes"/>
      </w:pPr>
      <w:r w:rsidRPr="000A2B77">
        <w:rPr>
          <w:rStyle w:val="FootnoteReference"/>
          <w:rFonts w:cs="Arial"/>
          <w:szCs w:val="16"/>
        </w:rPr>
        <w:footnoteRef/>
      </w:r>
      <w:r w:rsidRPr="000A2B77">
        <w:t xml:space="preserve"> </w:t>
      </w:r>
      <w:proofErr w:type="gramStart"/>
      <w:r w:rsidRPr="000A2B77">
        <w:t>ibid 497.</w:t>
      </w:r>
      <w:proofErr w:type="gramEnd"/>
      <w:r w:rsidRPr="000A2B77">
        <w:t xml:space="preserve"> So, for example, for a bank to provide a guarantee to the value of £2,000,000, it may require £2,000,000 of collateral from the operator.</w:t>
      </w:r>
    </w:p>
  </w:footnote>
  <w:footnote w:id="76">
    <w:p w:rsidR="00EB3ADB" w:rsidRPr="000A2B77" w:rsidRDefault="00EB3ADB" w:rsidP="004151B6">
      <w:pPr>
        <w:pStyle w:val="PhDFootnotes"/>
      </w:pPr>
      <w:r w:rsidRPr="000A2B77">
        <w:rPr>
          <w:rStyle w:val="FootnoteReference"/>
          <w:rFonts w:cs="Arial"/>
          <w:szCs w:val="16"/>
        </w:rPr>
        <w:footnoteRef/>
      </w:r>
      <w:r w:rsidRPr="000A2B77">
        <w:t xml:space="preserve"> </w:t>
      </w:r>
      <w:proofErr w:type="gramStart"/>
      <w:r w:rsidRPr="000A2B77">
        <w:t>Jason Shogren, Joseph Herriges and Ramu Govindasamy, ‘Limits to environmental bonds’ (1993) Ecological Economics 8 109, 117.</w:t>
      </w:r>
      <w:proofErr w:type="gramEnd"/>
    </w:p>
  </w:footnote>
  <w:footnote w:id="77">
    <w:p w:rsidR="00EB3ADB" w:rsidRPr="000A2B77" w:rsidRDefault="00EB3ADB" w:rsidP="004151B6">
      <w:pPr>
        <w:pStyle w:val="PhDFootnotes"/>
      </w:pPr>
      <w:r w:rsidRPr="000A2B77">
        <w:rPr>
          <w:rStyle w:val="FootnoteReference"/>
        </w:rPr>
        <w:footnoteRef/>
      </w:r>
      <w:r w:rsidRPr="000A2B77">
        <w:t xml:space="preserve"> It is for this reason that s 38A of the Petroleum Act 1998 ‘ring-fences’ funds or assets proffered as security for the costs associated with an approved decommissioning programme.</w:t>
      </w:r>
    </w:p>
  </w:footnote>
  <w:footnote w:id="78">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The term ‘insolvency law-related issue’ relates to aspects of insolvency law in England and Wales which may confer protection to secured and unsecured creditors of an insolvent operator. See, e.g., the discussion below regarding the </w:t>
      </w:r>
      <w:r>
        <w:rPr>
          <w:szCs w:val="16"/>
        </w:rPr>
        <w:t xml:space="preserve">potential for payments made by the operator to the </w:t>
      </w:r>
      <w:r w:rsidRPr="000A2B77">
        <w:rPr>
          <w:szCs w:val="16"/>
        </w:rPr>
        <w:t xml:space="preserve">regulator </w:t>
      </w:r>
      <w:r>
        <w:rPr>
          <w:szCs w:val="16"/>
        </w:rPr>
        <w:t>to amount</w:t>
      </w:r>
      <w:r w:rsidRPr="000A2B77">
        <w:rPr>
          <w:szCs w:val="16"/>
        </w:rPr>
        <w:t xml:space="preserve"> to a voidable ‘preference’ under section 239</w:t>
      </w:r>
      <w:r>
        <w:rPr>
          <w:szCs w:val="16"/>
        </w:rPr>
        <w:t xml:space="preserve"> IA 1986 if the operator enters into insolvent liquidation within the following six months.</w:t>
      </w:r>
    </w:p>
  </w:footnote>
  <w:footnote w:id="79">
    <w:p w:rsidR="00EB3ADB" w:rsidRPr="000A2B77" w:rsidRDefault="00EB3ADB" w:rsidP="004151B6">
      <w:pPr>
        <w:pStyle w:val="PhDFootnotes"/>
      </w:pPr>
      <w:r w:rsidRPr="000A2B77">
        <w:rPr>
          <w:rStyle w:val="FootnoteReference"/>
          <w:rFonts w:cs="Arial"/>
          <w:szCs w:val="16"/>
        </w:rPr>
        <w:footnoteRef/>
      </w:r>
      <w:r w:rsidRPr="000A2B77">
        <w:t xml:space="preserve"> </w:t>
      </w:r>
      <w:proofErr w:type="gramStart"/>
      <w:r w:rsidRPr="000A2B77">
        <w:t>GAO, ‘Environmental Liabilities’ (n 9) 44.</w:t>
      </w:r>
      <w:proofErr w:type="gramEnd"/>
    </w:p>
  </w:footnote>
  <w:footnote w:id="80">
    <w:p w:rsidR="00EB3ADB" w:rsidRPr="000A2B77" w:rsidRDefault="00EB3ADB" w:rsidP="004151B6">
      <w:pPr>
        <w:pStyle w:val="PhDFootnotes"/>
        <w:rPr>
          <w:szCs w:val="16"/>
        </w:rPr>
      </w:pPr>
      <w:r w:rsidRPr="000A2B77">
        <w:rPr>
          <w:rStyle w:val="FootnoteReference"/>
          <w:rFonts w:cs="Arial"/>
          <w:szCs w:val="16"/>
        </w:rPr>
        <w:footnoteRef/>
      </w:r>
      <w:r w:rsidRPr="000A2B77">
        <w:rPr>
          <w:szCs w:val="16"/>
        </w:rPr>
        <w:t xml:space="preserve"> ibid.</w:t>
      </w:r>
    </w:p>
  </w:footnote>
  <w:footnote w:id="81">
    <w:p w:rsidR="00EB3ADB" w:rsidRPr="000A2B77" w:rsidRDefault="00EB3ADB" w:rsidP="004151B6">
      <w:pPr>
        <w:pStyle w:val="PhDFootnotes"/>
      </w:pPr>
      <w:r w:rsidRPr="000A2B77">
        <w:rPr>
          <w:rStyle w:val="FootnoteReference"/>
          <w:szCs w:val="16"/>
        </w:rPr>
        <w:footnoteRef/>
      </w:r>
      <w:r w:rsidRPr="000A2B77">
        <w:t xml:space="preserve"> This factor is not only a flaw of self-insurance. Captive insurers pose a similar problem in that the financial condition of the subsidiary-insurer is generally closely connected to that of its parent-insurer: ibid 47. If the parent faces financial difficulties, the captive may be unable to cover claims against its policies: ibid. Thus, unlike a commercial insurer, a captive’s ability to absorb claims is ‘...weakest when its strength is most needed - upon the insolvency of the parent’: </w:t>
      </w:r>
      <w:r w:rsidRPr="000A2B77">
        <w:rPr>
          <w:szCs w:val="16"/>
        </w:rPr>
        <w:t xml:space="preserve">Boyd, ‘Financial Responsibility’ (n 6) </w:t>
      </w:r>
      <w:r w:rsidRPr="000A2B77">
        <w:t>59-60.</w:t>
      </w:r>
    </w:p>
  </w:footnote>
  <w:footnote w:id="82">
    <w:p w:rsidR="00EB3ADB" w:rsidRPr="000A2B77" w:rsidRDefault="00EB3ADB" w:rsidP="004151B6">
      <w:pPr>
        <w:pStyle w:val="PhDFootnotes"/>
      </w:pPr>
      <w:r w:rsidRPr="000A2B77">
        <w:rPr>
          <w:rStyle w:val="FootnoteReference"/>
          <w:rFonts w:cs="Arial"/>
          <w:szCs w:val="16"/>
        </w:rPr>
        <w:footnoteRef/>
      </w:r>
      <w:r w:rsidRPr="000A2B77">
        <w:t xml:space="preserve"> See, e.g., US financial security requirements for closure of hazardous waste treatment, storage and disposal facilities. Owners or operators are required to submit updated information to the regulator within 90 days after the close of each fiscal year: 40 CFR s 264.143(f</w:t>
      </w:r>
      <w:proofErr w:type="gramStart"/>
      <w:r w:rsidRPr="000A2B77">
        <w:t>)(</w:t>
      </w:r>
      <w:proofErr w:type="gramEnd"/>
      <w:r w:rsidRPr="000A2B77">
        <w:t>5). Owners or operators are required to submit notice of intent to establish alternate financial assurance if an operator no longer meets criteria for corporate financial test or corporate guarantee: ibid s 264.143(f</w:t>
      </w:r>
      <w:proofErr w:type="gramStart"/>
      <w:r w:rsidRPr="000A2B77">
        <w:t>)(</w:t>
      </w:r>
      <w:proofErr w:type="gramEnd"/>
      <w:r w:rsidRPr="000A2B77">
        <w:t>6).</w:t>
      </w:r>
    </w:p>
  </w:footnote>
  <w:footnote w:id="83">
    <w:p w:rsidR="00EB3ADB" w:rsidRPr="000A2B77" w:rsidRDefault="00EB3ADB" w:rsidP="004151B6">
      <w:pPr>
        <w:pStyle w:val="PhDFootnotes"/>
        <w:rPr>
          <w:szCs w:val="16"/>
        </w:rPr>
      </w:pPr>
      <w:r w:rsidRPr="000A2B77">
        <w:rPr>
          <w:rStyle w:val="FootnoteReference"/>
          <w:rFonts w:cs="Arial"/>
          <w:szCs w:val="16"/>
        </w:rPr>
        <w:footnoteRef/>
      </w:r>
      <w:r w:rsidRPr="000A2B77">
        <w:t xml:space="preserve"> Stacey Sklaver, ‘Parents Know Best: A Legal and Economic Analysis of Financial Assurances under CERCLA Section 108(B) and the </w:t>
      </w:r>
      <w:r w:rsidRPr="000A2B77">
        <w:rPr>
          <w:szCs w:val="16"/>
        </w:rPr>
        <w:t xml:space="preserve">Parent-Subsidiary Relationship’ (2012)18 J L Bus &amp; Ethics 169, 198. </w:t>
      </w:r>
    </w:p>
  </w:footnote>
  <w:footnote w:id="84">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See, e.g., 40 CFR s 264.143(f</w:t>
      </w:r>
      <w:proofErr w:type="gramStart"/>
      <w:r w:rsidRPr="000A2B77">
        <w:rPr>
          <w:szCs w:val="16"/>
        </w:rPr>
        <w:t>)(</w:t>
      </w:r>
      <w:proofErr w:type="gramEnd"/>
      <w:r w:rsidRPr="000A2B77">
        <w:rPr>
          <w:szCs w:val="16"/>
        </w:rPr>
        <w:t xml:space="preserve">7) (if regulator has </w:t>
      </w:r>
      <w:r>
        <w:rPr>
          <w:szCs w:val="16"/>
        </w:rPr>
        <w:t xml:space="preserve">a </w:t>
      </w:r>
      <w:r w:rsidRPr="000A2B77">
        <w:rPr>
          <w:szCs w:val="16"/>
        </w:rPr>
        <w:t>reasonable belief that an owner or operator may no longer meet the criteria for corporate financial test or corporate guarantee, the regulator may require it to submit reports of its financial condition, and conclude on the basis of such reports that it does not satisfy the criteria, and to require it to post alternative financial security).</w:t>
      </w:r>
    </w:p>
  </w:footnote>
  <w:footnote w:id="85">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See Natural Resources Defense Council, ‘Fact Sheet, Undermined Promise II: Frequently Asked Questions about Self-bonding’ (‘Texas required and successfully received replacement reclamation bonds for Luminant Mining’s $1.2 billion of self-bonding when parent company Energy Future Holdings declared bankruptcy in April 2014.’) </w:t>
      </w:r>
    </w:p>
    <w:p w:rsidR="00EB3ADB" w:rsidRPr="000A2B77" w:rsidRDefault="00EB3ADB" w:rsidP="004151B6">
      <w:pPr>
        <w:pStyle w:val="PhDFootnotes"/>
        <w:rPr>
          <w:rFonts w:cs="Arial"/>
          <w:szCs w:val="16"/>
        </w:rPr>
      </w:pPr>
      <w:r w:rsidRPr="000A2B77">
        <w:rPr>
          <w:rFonts w:cs="Arial"/>
          <w:szCs w:val="16"/>
        </w:rPr>
        <w:t>&lt;</w:t>
      </w:r>
      <w:hyperlink r:id="rId14" w:history="1">
        <w:r w:rsidRPr="000A2B77">
          <w:rPr>
            <w:rStyle w:val="Hyperlink"/>
            <w:rFonts w:cs="Arial"/>
            <w:szCs w:val="16"/>
          </w:rPr>
          <w:t>http://www.underminedpromise.org/selfbonding-factsheet.pdf</w:t>
        </w:r>
      </w:hyperlink>
      <w:r w:rsidRPr="000A2B77">
        <w:rPr>
          <w:rFonts w:cs="Arial"/>
          <w:szCs w:val="16"/>
        </w:rPr>
        <w:t>&gt; accessed 10 November 2015.</w:t>
      </w:r>
    </w:p>
  </w:footnote>
  <w:footnote w:id="86">
    <w:p w:rsidR="00EB3ADB" w:rsidRPr="000A2B77" w:rsidRDefault="00EB3ADB" w:rsidP="004151B6">
      <w:pPr>
        <w:pStyle w:val="PhDFootnotes"/>
      </w:pPr>
      <w:r w:rsidRPr="000A2B77">
        <w:rPr>
          <w:rStyle w:val="FootnoteReference"/>
          <w:sz w:val="18"/>
          <w:szCs w:val="18"/>
        </w:rPr>
        <w:footnoteRef/>
      </w:r>
      <w:r w:rsidRPr="000A2B77">
        <w:t xml:space="preserve"> See Blanca Mamutse and Valerie Fogleman, ‘Environmental Claims and Insolvent Companies: The Contrasting Approaches of the United Kingdom and the United States’ (2013) Br J Am Leg Studies 579, 618-21 (Canadian company declared bankruptcy after being required to post </w:t>
      </w:r>
      <w:r w:rsidRPr="000A2B77">
        <w:rPr>
          <w:lang w:val="en-US"/>
        </w:rPr>
        <w:t xml:space="preserve">C$10 million in </w:t>
      </w:r>
      <w:r w:rsidRPr="000A2B77">
        <w:t>financial security to fund clean-up).</w:t>
      </w:r>
    </w:p>
  </w:footnote>
  <w:footnote w:id="87">
    <w:p w:rsidR="00EB3ADB" w:rsidRPr="000A2B77" w:rsidRDefault="00EB3ADB" w:rsidP="004151B6">
      <w:pPr>
        <w:pStyle w:val="PhDFootnotes"/>
        <w:rPr>
          <w:sz w:val="18"/>
          <w:szCs w:val="18"/>
        </w:rPr>
      </w:pPr>
      <w:r w:rsidRPr="000A2B77">
        <w:rPr>
          <w:rStyle w:val="FootnoteReference"/>
          <w:rFonts w:cs="Arial"/>
          <w:szCs w:val="18"/>
        </w:rPr>
        <w:footnoteRef/>
      </w:r>
      <w:r w:rsidRPr="000A2B77">
        <w:rPr>
          <w:szCs w:val="18"/>
        </w:rPr>
        <w:t xml:space="preserve"> IA 1986, s 239. See discussion in Section C2(c).</w:t>
      </w:r>
    </w:p>
  </w:footnote>
  <w:footnote w:id="88">
    <w:p w:rsidR="00EB3ADB" w:rsidRPr="000A2B77" w:rsidRDefault="00EB3ADB" w:rsidP="004151B6">
      <w:pPr>
        <w:pStyle w:val="PhDFootnotes"/>
        <w:rPr>
          <w:sz w:val="18"/>
          <w:szCs w:val="18"/>
        </w:rPr>
      </w:pPr>
      <w:r w:rsidRPr="000A2B77">
        <w:rPr>
          <w:rStyle w:val="FootnoteReference"/>
          <w:rFonts w:cs="Arial"/>
          <w:szCs w:val="18"/>
        </w:rPr>
        <w:footnoteRef/>
      </w:r>
      <w:r w:rsidRPr="000A2B77">
        <w:rPr>
          <w:szCs w:val="18"/>
        </w:rPr>
        <w:t xml:space="preserve"> </w:t>
      </w:r>
      <w:proofErr w:type="gramStart"/>
      <w:r w:rsidRPr="000A2B77">
        <w:rPr>
          <w:szCs w:val="16"/>
        </w:rPr>
        <w:t xml:space="preserve">Boyd, ‘Financial Responsibility’ (n 6) </w:t>
      </w:r>
      <w:r w:rsidRPr="000A2B77">
        <w:rPr>
          <w:szCs w:val="18"/>
        </w:rPr>
        <w:t>21.</w:t>
      </w:r>
      <w:proofErr w:type="gramEnd"/>
    </w:p>
  </w:footnote>
  <w:footnote w:id="89">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w:t>
      </w:r>
      <w:proofErr w:type="gramStart"/>
      <w:r w:rsidRPr="000A2B77">
        <w:rPr>
          <w:rFonts w:cs="Arial"/>
          <w:szCs w:val="16"/>
        </w:rPr>
        <w:t>ibid 63.</w:t>
      </w:r>
      <w:proofErr w:type="gramEnd"/>
    </w:p>
  </w:footnote>
  <w:footnote w:id="90">
    <w:p w:rsidR="00EB3ADB" w:rsidRPr="000A2B77" w:rsidRDefault="00EB3ADB" w:rsidP="004151B6">
      <w:pPr>
        <w:pStyle w:val="PhDFootnotes"/>
      </w:pPr>
      <w:r w:rsidRPr="000A2B77">
        <w:rPr>
          <w:rStyle w:val="FootnoteReference"/>
        </w:rPr>
        <w:footnoteRef/>
      </w:r>
      <w:r w:rsidRPr="000A2B77">
        <w:t xml:space="preserve"> </w:t>
      </w:r>
      <w:r w:rsidRPr="000A2B77">
        <w:rPr>
          <w:i/>
        </w:rPr>
        <w:t>Joint Liquidators of the Scottish Coal Company Limited</w:t>
      </w:r>
      <w:r w:rsidRPr="000A2B77">
        <w:t xml:space="preserve"> [2013] CSOH 124 [7].</w:t>
      </w:r>
    </w:p>
  </w:footnote>
  <w:footnote w:id="91">
    <w:p w:rsidR="00EB3ADB" w:rsidRPr="000A2B77" w:rsidRDefault="00EB3ADB" w:rsidP="004151B6">
      <w:pPr>
        <w:pStyle w:val="PhDFootnotes"/>
      </w:pPr>
      <w:r w:rsidRPr="000A2B77">
        <w:rPr>
          <w:rStyle w:val="FootnoteReference"/>
        </w:rPr>
        <w:footnoteRef/>
      </w:r>
      <w:r w:rsidRPr="000A2B77">
        <w:t xml:space="preserve"> Jim Mackinnon, Chris Norman and James Fowlie, </w:t>
      </w:r>
      <w:r w:rsidRPr="000A2B77">
        <w:rPr>
          <w:i/>
        </w:rPr>
        <w:t>Report of Independent Review of Regulation of Opencast Coal Operations in East Ayrshire</w:t>
      </w:r>
      <w:r w:rsidRPr="000A2B77">
        <w:t xml:space="preserve"> (January 2014) 28-29</w:t>
      </w:r>
    </w:p>
    <w:p w:rsidR="00EB3ADB" w:rsidRPr="000A2B77" w:rsidRDefault="00EB3ADB" w:rsidP="004151B6">
      <w:pPr>
        <w:pStyle w:val="PhDFootnotes"/>
      </w:pPr>
      <w:r w:rsidRPr="000A2B77">
        <w:t>&lt;</w:t>
      </w:r>
      <w:hyperlink r:id="rId15" w:history="1">
        <w:r w:rsidRPr="000A2B77">
          <w:rPr>
            <w:rStyle w:val="Hyperlink"/>
          </w:rPr>
          <w:t>https://www.east-ayrshire.gov.uk/Resources/PDF/C/Coal-Independent-Review-of-the-Regulation-of-Opencast-Coal-Operations-in-East-Ayrshire---Redacted-report-by-the-Independent-Review-Team.pdf</w:t>
        </w:r>
      </w:hyperlink>
      <w:r w:rsidRPr="000A2B77">
        <w:t>&gt; accessed 23 March 2016.</w:t>
      </w:r>
    </w:p>
  </w:footnote>
  <w:footnote w:id="92">
    <w:p w:rsidR="00EB3ADB" w:rsidRPr="000A2B77" w:rsidRDefault="00EB3ADB" w:rsidP="004151B6">
      <w:pPr>
        <w:pStyle w:val="PhDFootnotes"/>
        <w:rPr>
          <w:szCs w:val="16"/>
        </w:rPr>
      </w:pPr>
      <w:r w:rsidRPr="000A2B77">
        <w:rPr>
          <w:rStyle w:val="FootnoteReference"/>
          <w:rFonts w:cs="Arial"/>
          <w:szCs w:val="16"/>
        </w:rPr>
        <w:footnoteRef/>
      </w:r>
      <w:r w:rsidRPr="000A2B77">
        <w:t xml:space="preserve"> </w:t>
      </w:r>
      <w:r w:rsidRPr="000A2B77">
        <w:rPr>
          <w:szCs w:val="16"/>
        </w:rPr>
        <w:t>Boyd, ‘Financial Responsibility’ (n 6) 21.</w:t>
      </w:r>
    </w:p>
  </w:footnote>
  <w:footnote w:id="93">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See, e.g., National Wildlife Federation, Western Organization of Resources Councils and Natural Resources Defense Council, ‘Undermined Promise II’ (2015) 4 (some US coal companies ‘...may be “double-pledging” their assets, which appear to be obligated to their creditors in addition to State regulatory authorities; these assets may also be overvalued.’) &lt;</w:t>
      </w:r>
      <w:hyperlink r:id="rId16" w:history="1">
        <w:r w:rsidRPr="000A2B77">
          <w:rPr>
            <w:rStyle w:val="Hyperlink"/>
            <w:szCs w:val="16"/>
          </w:rPr>
          <w:t>http://www.underminedpromise.org/UnderminedPromiseII.pdf</w:t>
        </w:r>
      </w:hyperlink>
      <w:r w:rsidRPr="000A2B77">
        <w:rPr>
          <w:szCs w:val="16"/>
        </w:rPr>
        <w:t xml:space="preserve">&gt; accessed 23 March 2016. </w:t>
      </w:r>
    </w:p>
  </w:footnote>
  <w:footnote w:id="94">
    <w:p w:rsidR="00EB3ADB" w:rsidRPr="000A2B77" w:rsidRDefault="00EB3ADB" w:rsidP="004151B6">
      <w:pPr>
        <w:pStyle w:val="PhDFootnotes"/>
        <w:rPr>
          <w:szCs w:val="16"/>
        </w:rPr>
      </w:pPr>
      <w:r w:rsidRPr="000A2B77">
        <w:rPr>
          <w:rStyle w:val="FootnoteReference"/>
          <w:rFonts w:cs="Arial"/>
          <w:szCs w:val="16"/>
        </w:rPr>
        <w:footnoteRef/>
      </w:r>
      <w:r w:rsidRPr="000A2B77">
        <w:rPr>
          <w:szCs w:val="16"/>
        </w:rPr>
        <w:t xml:space="preserve"> GAO, ‘Environmental Liabilities’ (n 9) 44.</w:t>
      </w:r>
    </w:p>
  </w:footnote>
  <w:footnote w:id="95">
    <w:p w:rsidR="00EB3ADB" w:rsidRPr="000A2B77" w:rsidRDefault="00EB3ADB" w:rsidP="004151B6">
      <w:pPr>
        <w:pStyle w:val="PhDFootnotes"/>
      </w:pPr>
      <w:r w:rsidRPr="000A2B77">
        <w:rPr>
          <w:rStyle w:val="FootnoteReference"/>
          <w:rFonts w:cs="Arial"/>
          <w:szCs w:val="16"/>
        </w:rPr>
        <w:footnoteRef/>
      </w:r>
      <w:r w:rsidRPr="000A2B77">
        <w:t xml:space="preserve"> </w:t>
      </w:r>
      <w:proofErr w:type="gramStart"/>
      <w:r w:rsidRPr="000A2B77">
        <w:t>ibid 45.</w:t>
      </w:r>
      <w:proofErr w:type="gramEnd"/>
    </w:p>
  </w:footnote>
  <w:footnote w:id="96">
    <w:p w:rsidR="00EB3ADB" w:rsidRPr="000A2B77" w:rsidRDefault="00EB3ADB" w:rsidP="004151B6">
      <w:pPr>
        <w:pStyle w:val="PhDFootnotes"/>
        <w:rPr>
          <w:szCs w:val="16"/>
        </w:rPr>
      </w:pPr>
      <w:r w:rsidRPr="000A2B77">
        <w:rPr>
          <w:rStyle w:val="FootnoteReference"/>
          <w:rFonts w:cs="Arial"/>
          <w:szCs w:val="16"/>
        </w:rPr>
        <w:footnoteRef/>
      </w:r>
      <w:r w:rsidRPr="000A2B77">
        <w:t xml:space="preserve"> </w:t>
      </w:r>
      <w:r w:rsidRPr="000A2B77">
        <w:rPr>
          <w:szCs w:val="16"/>
        </w:rPr>
        <w:t>Boyd, ‘Financial Responsibility’ (n 6) 63.</w:t>
      </w:r>
    </w:p>
  </w:footnote>
  <w:footnote w:id="97">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See Erica Beecher-Monas, ‘Enron, Epistemology and Accountability: Regulating in a Global Economy’  (2003) 37 </w:t>
      </w:r>
      <w:proofErr w:type="spellStart"/>
      <w:r w:rsidRPr="000A2B77">
        <w:rPr>
          <w:szCs w:val="16"/>
        </w:rPr>
        <w:t>Ind</w:t>
      </w:r>
      <w:proofErr w:type="spellEnd"/>
      <w:r w:rsidRPr="000A2B77">
        <w:rPr>
          <w:szCs w:val="16"/>
        </w:rPr>
        <w:t xml:space="preserve"> L Rev 141, 153; Joshua Ronen, ‘Post-Enron Reform: Financial Statement Insurance, and GAAP Re-visited’ (2002) 8 Stanford Journal of Law, Business &amp; Finance 39, 40 (Enron ‘...proved to be only the beginning of a series of stunning irregularities by major corporations that were the darlings of Wall Street: WorldCom, AOL, Metromedia, Fiber Networks, Qwest Communications; the list goes on and on’).</w:t>
      </w:r>
    </w:p>
  </w:footnote>
  <w:footnote w:id="98">
    <w:p w:rsidR="00EB3ADB" w:rsidRPr="000A2B77" w:rsidRDefault="00EB3ADB" w:rsidP="004151B6">
      <w:pPr>
        <w:pStyle w:val="PhDFootnotes"/>
      </w:pPr>
      <w:r w:rsidRPr="000A2B77">
        <w:rPr>
          <w:rStyle w:val="FootnoteReference"/>
        </w:rPr>
        <w:footnoteRef/>
      </w:r>
      <w:r w:rsidRPr="000A2B77">
        <w:t xml:space="preserve"> </w:t>
      </w:r>
      <w:proofErr w:type="gramStart"/>
      <w:r w:rsidRPr="000A2B77">
        <w:t>IA 1986, s 178(2).</w:t>
      </w:r>
      <w:proofErr w:type="gramEnd"/>
    </w:p>
  </w:footnote>
  <w:footnote w:id="99">
    <w:p w:rsidR="00EB3ADB" w:rsidRPr="000A2B77" w:rsidRDefault="00EB3ADB" w:rsidP="004151B6">
      <w:pPr>
        <w:pStyle w:val="PhDFootnotes"/>
      </w:pPr>
      <w:r w:rsidRPr="000A2B77">
        <w:rPr>
          <w:rStyle w:val="FootnoteReference"/>
        </w:rPr>
        <w:footnoteRef/>
      </w:r>
      <w:r w:rsidRPr="000A2B77">
        <w:t xml:space="preserve"> </w:t>
      </w:r>
      <w:proofErr w:type="gramStart"/>
      <w:r w:rsidRPr="000A2B77">
        <w:rPr>
          <w:i/>
        </w:rPr>
        <w:t>Hindcastle Ltd v Barbara Attenborough Associates Ltd</w:t>
      </w:r>
      <w:r w:rsidRPr="000A2B77">
        <w:t xml:space="preserve"> [1997] AC 70, 87.</w:t>
      </w:r>
      <w:proofErr w:type="gramEnd"/>
      <w:r w:rsidRPr="000A2B77">
        <w:t xml:space="preserve"> It has been found that disclaimer terminates an operator’s interest in a trust fund created to ensure that certain liabilities associated with a waste management licence were met: </w:t>
      </w:r>
      <w:r w:rsidRPr="000A2B77">
        <w:rPr>
          <w:i/>
        </w:rPr>
        <w:t>Environment Agency v Hillridge Limited</w:t>
      </w:r>
      <w:r w:rsidRPr="000A2B77">
        <w:t xml:space="preserve"> [2003] EWHC 3023 (Ch) [44].</w:t>
      </w:r>
    </w:p>
  </w:footnote>
  <w:footnote w:id="100">
    <w:p w:rsidR="00EB3ADB" w:rsidRPr="000A2B77" w:rsidRDefault="00EB3ADB" w:rsidP="004151B6">
      <w:pPr>
        <w:pStyle w:val="PhDFootnotes"/>
      </w:pPr>
      <w:r w:rsidRPr="000A2B77">
        <w:rPr>
          <w:rStyle w:val="FootnoteReference"/>
        </w:rPr>
        <w:footnoteRef/>
      </w:r>
      <w:r w:rsidRPr="000A2B77">
        <w:t xml:space="preserve"> </w:t>
      </w:r>
      <w:r w:rsidRPr="000A2B77">
        <w:rPr>
          <w:i/>
        </w:rPr>
        <w:t>Hindcastle</w:t>
      </w:r>
      <w:r w:rsidRPr="000A2B77">
        <w:t xml:space="preserve"> (n 99) 86.</w:t>
      </w:r>
    </w:p>
  </w:footnote>
  <w:footnote w:id="101">
    <w:p w:rsidR="00EB3ADB" w:rsidRPr="000A2B77" w:rsidRDefault="00EB3ADB" w:rsidP="004151B6">
      <w:pPr>
        <w:pStyle w:val="PhDFootnotes"/>
      </w:pPr>
      <w:r w:rsidRPr="000A2B77">
        <w:rPr>
          <w:rStyle w:val="FootnoteReference"/>
        </w:rPr>
        <w:footnoteRef/>
      </w:r>
      <w:r w:rsidRPr="000A2B77">
        <w:t xml:space="preserve"> Paul Omar, ‘Disclaiming Onerous Property in Insolvency: a Comparative Study’ (2010) 19 International Insolvency Rev 41, 41.</w:t>
      </w:r>
    </w:p>
  </w:footnote>
  <w:footnote w:id="102">
    <w:p w:rsidR="00EB3ADB" w:rsidRPr="000A2B77" w:rsidRDefault="00EB3ADB" w:rsidP="004151B6">
      <w:pPr>
        <w:pStyle w:val="PhDFootnotes"/>
      </w:pPr>
      <w:r w:rsidRPr="000A2B77">
        <w:rPr>
          <w:rStyle w:val="FootnoteReference"/>
        </w:rPr>
        <w:footnoteRef/>
      </w:r>
      <w:r w:rsidRPr="000A2B77">
        <w:t xml:space="preserve"> </w:t>
      </w:r>
      <w:r w:rsidRPr="000A2B77">
        <w:rPr>
          <w:rStyle w:val="PhDFootnotesChar"/>
        </w:rPr>
        <w:t>IA 1986, s 178(3)</w:t>
      </w:r>
      <w:r w:rsidRPr="000A2B77">
        <w:t xml:space="preserve"> (emphasis added).</w:t>
      </w:r>
    </w:p>
  </w:footnote>
  <w:footnote w:id="103">
    <w:p w:rsidR="00EB3ADB" w:rsidRPr="000A2B77" w:rsidRDefault="00EB3ADB" w:rsidP="004151B6">
      <w:pPr>
        <w:pStyle w:val="PhDFootnotes"/>
      </w:pPr>
      <w:r w:rsidRPr="000A2B77">
        <w:rPr>
          <w:rStyle w:val="FootnoteReference"/>
          <w:rFonts w:cs="Arial"/>
        </w:rPr>
        <w:footnoteRef/>
      </w:r>
      <w:r w:rsidRPr="000A2B77">
        <w:t xml:space="preserve"> The courts have previously found a waste management licence (now a permit under EPR) to be ‘property’ for the purposes of section 178 IA 1986, but they have disagreed about whether it was disclaimable. In </w:t>
      </w:r>
      <w:r w:rsidRPr="000A2B77">
        <w:rPr>
          <w:i/>
        </w:rPr>
        <w:t>In</w:t>
      </w:r>
      <w:r w:rsidRPr="000A2B77">
        <w:t xml:space="preserve"> </w:t>
      </w:r>
      <w:r w:rsidRPr="000A2B77">
        <w:rPr>
          <w:i/>
        </w:rPr>
        <w:t>re Celtic Extraction Ltd</w:t>
      </w:r>
      <w:r w:rsidRPr="000A2B77">
        <w:t xml:space="preserve"> [2001] Ch 475 (CA), the Court of Appeal held that such a licence was disclaimable. In contrast, the High Court in </w:t>
      </w:r>
      <w:r w:rsidRPr="000A2B77">
        <w:rPr>
          <w:i/>
        </w:rPr>
        <w:t xml:space="preserve">In re Mineral Resources Ltd </w:t>
      </w:r>
      <w:r w:rsidRPr="000A2B77">
        <w:t xml:space="preserve">[1999] BCC 422 held that it could not be disclaimed and that the then relevant provisions of the Environmental Protection Act 1990 (the ‘EPA 1990’) prevailed. </w:t>
      </w:r>
    </w:p>
  </w:footnote>
  <w:footnote w:id="104">
    <w:p w:rsidR="00EB3ADB" w:rsidRPr="000A2B77" w:rsidRDefault="00EB3ADB" w:rsidP="004151B6">
      <w:pPr>
        <w:pStyle w:val="PhDFootnotes"/>
      </w:pPr>
      <w:r w:rsidRPr="000A2B77">
        <w:rPr>
          <w:rStyle w:val="FootnoteReference"/>
        </w:rPr>
        <w:footnoteRef/>
      </w:r>
      <w:r w:rsidRPr="000A2B77">
        <w:t xml:space="preserve"> </w:t>
      </w:r>
      <w:proofErr w:type="gramStart"/>
      <w:r w:rsidRPr="000A2B77">
        <w:t>IA 1986, s 178(4).</w:t>
      </w:r>
      <w:proofErr w:type="gramEnd"/>
    </w:p>
  </w:footnote>
  <w:footnote w:id="105">
    <w:p w:rsidR="00EB3ADB" w:rsidRPr="000A2B77" w:rsidRDefault="00EB3ADB" w:rsidP="004151B6">
      <w:pPr>
        <w:pStyle w:val="PhDFootnotes"/>
      </w:pPr>
      <w:r w:rsidRPr="000A2B77">
        <w:rPr>
          <w:rStyle w:val="FootnoteReference"/>
        </w:rPr>
        <w:footnoteRef/>
      </w:r>
      <w:r w:rsidRPr="000A2B77">
        <w:t xml:space="preserve"> </w:t>
      </w:r>
      <w:proofErr w:type="gramStart"/>
      <w:r w:rsidRPr="000A2B77">
        <w:rPr>
          <w:i/>
        </w:rPr>
        <w:t>Christopher Moran Holdings Ltd v Bairstow</w:t>
      </w:r>
      <w:r w:rsidRPr="000A2B77">
        <w:t xml:space="preserve"> [2000] 2 AC 172 (HL), 183.</w:t>
      </w:r>
      <w:proofErr w:type="gramEnd"/>
    </w:p>
  </w:footnote>
  <w:footnote w:id="106">
    <w:p w:rsidR="00EB3ADB" w:rsidRPr="000A2B77" w:rsidRDefault="00EB3ADB" w:rsidP="004151B6">
      <w:pPr>
        <w:pStyle w:val="PhDFootnotes"/>
      </w:pPr>
      <w:r w:rsidRPr="000A2B77">
        <w:rPr>
          <w:rStyle w:val="FootnoteReference"/>
        </w:rPr>
        <w:footnoteRef/>
      </w:r>
      <w:r w:rsidRPr="000A2B77">
        <w:t xml:space="preserve"> </w:t>
      </w:r>
      <w:proofErr w:type="gramStart"/>
      <w:r w:rsidRPr="000A2B77">
        <w:rPr>
          <w:i/>
        </w:rPr>
        <w:t xml:space="preserve">Basch v Stekel </w:t>
      </w:r>
      <w:r w:rsidRPr="000A2B77">
        <w:t>[2001] L &amp; TR 1 (CA) [23].</w:t>
      </w:r>
      <w:proofErr w:type="gramEnd"/>
    </w:p>
  </w:footnote>
  <w:footnote w:id="107">
    <w:p w:rsidR="00EB3ADB" w:rsidRPr="000A2B77" w:rsidRDefault="00EB3ADB" w:rsidP="004151B6">
      <w:pPr>
        <w:pStyle w:val="PhDFootnotes"/>
      </w:pPr>
      <w:r w:rsidRPr="000A2B77">
        <w:rPr>
          <w:rStyle w:val="FootnoteReference"/>
        </w:rPr>
        <w:footnoteRef/>
      </w:r>
      <w:r w:rsidRPr="000A2B77">
        <w:t xml:space="preserve"> Under UK company law, the doctrine of limited liability provides that when a company’s assets are exhausted, generally, the shareholder’s liability is limited to any amount unpaid on their shares: Companies Act 2006, s 3(2).  This may be a nominal amount.</w:t>
      </w:r>
    </w:p>
  </w:footnote>
  <w:footnote w:id="108">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Texas Commission on Environmental Quality, ‘Financial Assurance Interim Report to the House Committee on State Affairs’ (CTF-14, August 2014) 16 [5]</w:t>
      </w:r>
    </w:p>
    <w:p w:rsidR="00EB3ADB" w:rsidRPr="000A2B77" w:rsidRDefault="00EB3ADB" w:rsidP="004151B6">
      <w:pPr>
        <w:pStyle w:val="PhDFootnotes"/>
        <w:rPr>
          <w:rFonts w:cs="Arial"/>
          <w:szCs w:val="16"/>
        </w:rPr>
      </w:pPr>
      <w:r w:rsidRPr="000A2B77">
        <w:rPr>
          <w:rFonts w:cs="Arial"/>
          <w:szCs w:val="16"/>
        </w:rPr>
        <w:t>&lt;</w:t>
      </w:r>
      <w:hyperlink r:id="rId17" w:history="1">
        <w:r w:rsidRPr="000A2B77">
          <w:rPr>
            <w:rStyle w:val="Hyperlink"/>
            <w:rFonts w:cs="Arial"/>
            <w:szCs w:val="16"/>
          </w:rPr>
          <w:t>http://www.tceq.state.tx.us/assets/public/comm_exec/pubs/ctf/014.pdf</w:t>
        </w:r>
      </w:hyperlink>
      <w:r w:rsidRPr="000A2B77">
        <w:rPr>
          <w:rFonts w:cs="Arial"/>
          <w:szCs w:val="16"/>
        </w:rPr>
        <w:t>&gt; accessed 23 March 2016.</w:t>
      </w:r>
    </w:p>
  </w:footnote>
  <w:footnote w:id="109">
    <w:p w:rsidR="00EB3ADB" w:rsidRPr="000A2B77" w:rsidRDefault="00EB3ADB" w:rsidP="004151B6">
      <w:pPr>
        <w:pStyle w:val="PhDFootnotes"/>
        <w:rPr>
          <w:rFonts w:cs="Arial"/>
        </w:rPr>
      </w:pPr>
      <w:r w:rsidRPr="000A2B77">
        <w:rPr>
          <w:rStyle w:val="FootnoteReference"/>
        </w:rPr>
        <w:footnoteRef/>
      </w:r>
      <w:r w:rsidRPr="000A2B77">
        <w:t xml:space="preserve"> </w:t>
      </w:r>
      <w:r w:rsidRPr="000A2B77">
        <w:rPr>
          <w:rFonts w:cs="Arial"/>
        </w:rPr>
        <w:t>Even where the liquidator does not seek to disclaim onerous property, there may be insufficient assets to satisfy the claims of all of the operator’s unsecured, non-preferential creditors. Disclaimer does, however, exacerbate the risk associated with an operator’s insolvency</w:t>
      </w:r>
      <w:r>
        <w:rPr>
          <w:rFonts w:cs="Arial"/>
        </w:rPr>
        <w:t xml:space="preserve"> for the reasons set out below</w:t>
      </w:r>
      <w:r w:rsidRPr="000A2B77">
        <w:rPr>
          <w:rFonts w:cs="Arial"/>
        </w:rPr>
        <w:t>.</w:t>
      </w:r>
    </w:p>
  </w:footnote>
  <w:footnote w:id="110">
    <w:p w:rsidR="00EB3ADB" w:rsidRPr="000A2B77" w:rsidRDefault="00EB3ADB" w:rsidP="004151B6">
      <w:pPr>
        <w:pStyle w:val="PhDFootnotes"/>
      </w:pPr>
      <w:r w:rsidRPr="000A2B77">
        <w:rPr>
          <w:rStyle w:val="FootnoteReference"/>
        </w:rPr>
        <w:footnoteRef/>
      </w:r>
      <w:r w:rsidRPr="000A2B77">
        <w:t xml:space="preserve"> Where the enforcing authority has taken a charge over the self-insuring operator’s premises in respect of the costs it has incurred, an option examined in Scenario 2 of Section C, some of the problems highlighted in the present scenario may be resolved. </w:t>
      </w:r>
    </w:p>
  </w:footnote>
  <w:footnote w:id="111">
    <w:p w:rsidR="00EB3ADB" w:rsidRPr="000A2B77" w:rsidRDefault="00EB3ADB" w:rsidP="004151B6">
      <w:pPr>
        <w:pStyle w:val="PhDFootnotes"/>
      </w:pPr>
      <w:r w:rsidRPr="000A2B77">
        <w:rPr>
          <w:rStyle w:val="FootnoteReference"/>
          <w:szCs w:val="16"/>
        </w:rPr>
        <w:footnoteRef/>
      </w:r>
      <w:r w:rsidRPr="000A2B77">
        <w:rPr>
          <w:szCs w:val="16"/>
        </w:rPr>
        <w:t xml:space="preserve"> IR Rules 1986, SI 1986/1925, </w:t>
      </w:r>
      <w:proofErr w:type="spellStart"/>
      <w:r w:rsidRPr="000A2B77">
        <w:rPr>
          <w:szCs w:val="16"/>
        </w:rPr>
        <w:t>rr</w:t>
      </w:r>
      <w:proofErr w:type="spellEnd"/>
      <w:r w:rsidRPr="000A2B77">
        <w:rPr>
          <w:szCs w:val="16"/>
        </w:rPr>
        <w:t xml:space="preserve"> 12</w:t>
      </w:r>
      <w:r w:rsidRPr="000A2B77">
        <w:t>.3(1) and 13.12(1</w:t>
      </w:r>
      <w:proofErr w:type="gramStart"/>
      <w:r w:rsidRPr="000A2B77">
        <w:t>)(</w:t>
      </w:r>
      <w:proofErr w:type="gramEnd"/>
      <w:r w:rsidRPr="000A2B77">
        <w:t>a)(</w:t>
      </w:r>
      <w:proofErr w:type="spellStart"/>
      <w:r w:rsidRPr="000A2B77">
        <w:t>i</w:t>
      </w:r>
      <w:proofErr w:type="spellEnd"/>
      <w:r w:rsidRPr="000A2B77">
        <w:t xml:space="preserve">). This, of course, presumes that the costs were sanctioned by the relevant regulatory framework. For example, under The Environmental Damage (Prevention and Remediation) (England) Regulations 2015, SI 2015/810, the responsible operator is liable for the ‘reasonable’ costs of the enforcing authority in relation to work undertaken by it in relation to costs such as monitoring the remediation after the work has been carried out: </w:t>
      </w:r>
      <w:proofErr w:type="spellStart"/>
      <w:r w:rsidRPr="000A2B77">
        <w:t>regs</w:t>
      </w:r>
      <w:proofErr w:type="spellEnd"/>
      <w:r w:rsidRPr="000A2B77">
        <w:t xml:space="preserve"> 24(2) and 25(2). </w:t>
      </w:r>
    </w:p>
  </w:footnote>
  <w:footnote w:id="112">
    <w:p w:rsidR="00EB3ADB" w:rsidRPr="000A2B77" w:rsidRDefault="00EB3ADB" w:rsidP="004151B6">
      <w:pPr>
        <w:pStyle w:val="PhDFootnotes"/>
      </w:pPr>
      <w:r w:rsidRPr="000A2B77">
        <w:rPr>
          <w:rStyle w:val="FootnoteReference"/>
        </w:rPr>
        <w:footnoteRef/>
      </w:r>
      <w:r w:rsidRPr="000A2B77">
        <w:t xml:space="preserve"> The possible expenses of the liquidation, and their relative priority amongst themselves, are set out in r 4.218 IR 1986.</w:t>
      </w:r>
    </w:p>
  </w:footnote>
  <w:footnote w:id="113">
    <w:p w:rsidR="00EB3ADB" w:rsidRPr="000A2B77" w:rsidRDefault="00EB3ADB" w:rsidP="004151B6">
      <w:pPr>
        <w:pStyle w:val="PhDFootnotes"/>
      </w:pPr>
      <w:r w:rsidRPr="000A2B77">
        <w:rPr>
          <w:rStyle w:val="FootnoteReference"/>
        </w:rPr>
        <w:footnoteRef/>
      </w:r>
      <w:r w:rsidRPr="000A2B77">
        <w:t xml:space="preserve"> </w:t>
      </w:r>
      <w:proofErr w:type="gramStart"/>
      <w:r w:rsidRPr="000A2B77">
        <w:t>IA 1986, s 175(1).</w:t>
      </w:r>
      <w:proofErr w:type="gramEnd"/>
    </w:p>
  </w:footnote>
  <w:footnote w:id="114">
    <w:p w:rsidR="00EB3ADB" w:rsidRPr="000A2B77" w:rsidRDefault="00EB3ADB" w:rsidP="004151B6">
      <w:pPr>
        <w:pStyle w:val="PhDFootnotes"/>
      </w:pPr>
      <w:r w:rsidRPr="000A2B77">
        <w:rPr>
          <w:rStyle w:val="FootnoteReference"/>
        </w:rPr>
        <w:footnoteRef/>
      </w:r>
      <w:r w:rsidRPr="000A2B77">
        <w:t xml:space="preserve"> ibid s 386(1</w:t>
      </w:r>
      <w:proofErr w:type="gramStart"/>
      <w:r w:rsidRPr="000A2B77">
        <w:t>)(</w:t>
      </w:r>
      <w:proofErr w:type="gramEnd"/>
      <w:r w:rsidRPr="000A2B77">
        <w:t xml:space="preserve">1A). They are specified in paras 8-15B of Schedule 6. </w:t>
      </w:r>
    </w:p>
  </w:footnote>
  <w:footnote w:id="115">
    <w:p w:rsidR="00EB3ADB" w:rsidRPr="000A2B77" w:rsidRDefault="00EB3ADB" w:rsidP="004151B6">
      <w:pPr>
        <w:pStyle w:val="PhDFootnotes"/>
      </w:pPr>
      <w:r w:rsidRPr="000A2B77">
        <w:rPr>
          <w:rStyle w:val="FootnoteReference"/>
        </w:rPr>
        <w:footnoteRef/>
      </w:r>
      <w:r w:rsidRPr="000A2B77">
        <w:t xml:space="preserve"> ibid s 175(1</w:t>
      </w:r>
      <w:proofErr w:type="gramStart"/>
      <w:r w:rsidRPr="000A2B77">
        <w:t>)(</w:t>
      </w:r>
      <w:proofErr w:type="gramEnd"/>
      <w:r w:rsidRPr="000A2B77">
        <w:t xml:space="preserve">1B). They are defined in </w:t>
      </w:r>
      <w:r w:rsidRPr="000A2B77">
        <w:rPr>
          <w:rFonts w:cs="Arial"/>
        </w:rPr>
        <w:t>s 386(1</w:t>
      </w:r>
      <w:proofErr w:type="gramStart"/>
      <w:r w:rsidRPr="000A2B77">
        <w:rPr>
          <w:rFonts w:cs="Arial"/>
        </w:rPr>
        <w:t>)(</w:t>
      </w:r>
      <w:proofErr w:type="gramEnd"/>
      <w:r w:rsidRPr="000A2B77">
        <w:rPr>
          <w:rFonts w:cs="Arial"/>
        </w:rPr>
        <w:t>1B) IA 1986 and specified in paras 15BA and 15BB of Schedule 6.</w:t>
      </w:r>
    </w:p>
  </w:footnote>
  <w:footnote w:id="116">
    <w:p w:rsidR="00EB3ADB" w:rsidRPr="000A2B77" w:rsidRDefault="00EB3ADB" w:rsidP="004151B6">
      <w:pPr>
        <w:pStyle w:val="PhDFootnotes"/>
      </w:pPr>
      <w:r w:rsidRPr="000A2B77">
        <w:rPr>
          <w:rStyle w:val="FootnoteReference"/>
        </w:rPr>
        <w:footnoteRef/>
      </w:r>
      <w:r w:rsidRPr="000A2B77">
        <w:t xml:space="preserve"> </w:t>
      </w:r>
      <w:proofErr w:type="gramStart"/>
      <w:r w:rsidRPr="000A2B77">
        <w:t>ibid s 175(1).</w:t>
      </w:r>
      <w:proofErr w:type="gramEnd"/>
      <w:r w:rsidRPr="000A2B77">
        <w:t xml:space="preserve">  </w:t>
      </w:r>
    </w:p>
  </w:footnote>
  <w:footnote w:id="117">
    <w:p w:rsidR="00EB3ADB" w:rsidRPr="000A2B77" w:rsidRDefault="00EB3ADB" w:rsidP="004151B6">
      <w:pPr>
        <w:pStyle w:val="PhDFootnotes"/>
      </w:pPr>
      <w:r w:rsidRPr="000A2B77">
        <w:rPr>
          <w:rStyle w:val="FootnoteReference"/>
        </w:rPr>
        <w:footnoteRef/>
      </w:r>
      <w:r w:rsidRPr="000A2B77">
        <w:t xml:space="preserve"> </w:t>
      </w:r>
      <w:proofErr w:type="gramStart"/>
      <w:r w:rsidRPr="000A2B77">
        <w:t>ibid s 175(2).</w:t>
      </w:r>
      <w:proofErr w:type="gramEnd"/>
    </w:p>
  </w:footnote>
  <w:footnote w:id="118">
    <w:p w:rsidR="00EB3ADB" w:rsidRPr="000A2B77" w:rsidRDefault="00EB3ADB" w:rsidP="004151B6">
      <w:pPr>
        <w:pStyle w:val="PhDFootnotes"/>
      </w:pPr>
      <w:r w:rsidRPr="000A2B77">
        <w:rPr>
          <w:rStyle w:val="FootnoteReference"/>
        </w:rPr>
        <w:footnoteRef/>
      </w:r>
      <w:r w:rsidRPr="000A2B77">
        <w:t xml:space="preserve"> Insolvency Service, ‘Continuity of Essential Supplies to Insolvent Businesses, Impact Assessment’ (March 2014) 6, para 22</w:t>
      </w:r>
    </w:p>
    <w:p w:rsidR="00EB3ADB" w:rsidRPr="000A2B77" w:rsidRDefault="00EB3ADB" w:rsidP="004151B6">
      <w:pPr>
        <w:pStyle w:val="PhDFootnotes"/>
      </w:pPr>
      <w:r w:rsidRPr="000A2B77">
        <w:t>&lt;</w:t>
      </w:r>
      <w:hyperlink r:id="rId18" w:history="1">
        <w:r w:rsidRPr="000A2B77">
          <w:rPr>
            <w:rStyle w:val="Hyperlink"/>
          </w:rPr>
          <w:t>https://www.gov.uk/government/uploads/system/uploads/attachment_data/file/328136/Annex_C_-_Impact_Assessment.doc.</w:t>
        </w:r>
      </w:hyperlink>
      <w:r w:rsidRPr="000A2B77">
        <w:t>&gt; accessed 23 March 2016.</w:t>
      </w:r>
    </w:p>
  </w:footnote>
  <w:footnote w:id="119">
    <w:p w:rsidR="00EB3ADB" w:rsidRPr="000A2B77" w:rsidRDefault="00EB3ADB" w:rsidP="004151B6">
      <w:pPr>
        <w:pStyle w:val="PhDFootnotes"/>
      </w:pPr>
      <w:r w:rsidRPr="000A2B77">
        <w:rPr>
          <w:rStyle w:val="FootnoteReference"/>
        </w:rPr>
        <w:footnoteRef/>
      </w:r>
      <w:r w:rsidRPr="000A2B77">
        <w:t xml:space="preserve"> ibid.</w:t>
      </w:r>
    </w:p>
  </w:footnote>
  <w:footnote w:id="120">
    <w:p w:rsidR="00EB3ADB" w:rsidRPr="000A2B77" w:rsidRDefault="00EB3ADB" w:rsidP="004151B6">
      <w:pPr>
        <w:pStyle w:val="PhDFootnotes"/>
      </w:pPr>
      <w:r w:rsidRPr="000A2B77">
        <w:rPr>
          <w:rStyle w:val="FootnoteReference"/>
        </w:rPr>
        <w:footnoteRef/>
      </w:r>
      <w:r w:rsidRPr="000A2B77">
        <w:t xml:space="preserve"> IA 1986, ss </w:t>
      </w:r>
      <w:proofErr w:type="gramStart"/>
      <w:r w:rsidRPr="000A2B77">
        <w:t>176A(</w:t>
      </w:r>
      <w:proofErr w:type="gramEnd"/>
      <w:r w:rsidRPr="000A2B77">
        <w:t>1)-(5).</w:t>
      </w:r>
    </w:p>
  </w:footnote>
  <w:footnote w:id="121">
    <w:p w:rsidR="00EB3ADB" w:rsidRPr="000A2B77" w:rsidRDefault="00EB3ADB" w:rsidP="004151B6">
      <w:pPr>
        <w:pStyle w:val="PhDFootnotes"/>
      </w:pPr>
      <w:r w:rsidRPr="000A2B77">
        <w:rPr>
          <w:rStyle w:val="FootnoteReference"/>
        </w:rPr>
        <w:footnoteRef/>
      </w:r>
      <w:r w:rsidRPr="000A2B77">
        <w:t xml:space="preserve"> The actual percentage conferred is dictated by the value of the company’s net property: Insolvency Act 1986 (Prescribed Part) Order 2003, SI 2003/2097, art 3.</w:t>
      </w:r>
    </w:p>
  </w:footnote>
  <w:footnote w:id="122">
    <w:p w:rsidR="00EB3ADB" w:rsidRPr="000A2B77" w:rsidRDefault="00EB3ADB" w:rsidP="004151B6">
      <w:pPr>
        <w:pStyle w:val="PhDFootnotes"/>
      </w:pPr>
      <w:r w:rsidRPr="000A2B77">
        <w:rPr>
          <w:rStyle w:val="FootnoteReference"/>
        </w:rPr>
        <w:footnoteRef/>
      </w:r>
      <w:r w:rsidRPr="000A2B77">
        <w:t xml:space="preserve"> Voluntary liquidations (s 107 IA 1986); Compulsory liquidations (r 4.181(1) IR 1986).</w:t>
      </w:r>
    </w:p>
  </w:footnote>
  <w:footnote w:id="123">
    <w:p w:rsidR="00EB3ADB" w:rsidRPr="000A2B77" w:rsidRDefault="00EB3ADB" w:rsidP="004151B6">
      <w:pPr>
        <w:pStyle w:val="PhDFootnotes"/>
      </w:pPr>
      <w:r w:rsidRPr="000A2B77">
        <w:rPr>
          <w:rStyle w:val="FootnoteReference"/>
        </w:rPr>
        <w:footnoteRef/>
      </w:r>
      <w:r w:rsidRPr="000A2B77">
        <w:t xml:space="preserve"> </w:t>
      </w:r>
      <w:proofErr w:type="gramStart"/>
      <w:r w:rsidRPr="000A2B77">
        <w:t>EPR 2010, reg 38(2).</w:t>
      </w:r>
      <w:proofErr w:type="gramEnd"/>
    </w:p>
  </w:footnote>
  <w:footnote w:id="124">
    <w:p w:rsidR="00EB3ADB" w:rsidRPr="000A2B77" w:rsidRDefault="00EB3ADB" w:rsidP="004151B6">
      <w:pPr>
        <w:pStyle w:val="PhDFootnotes"/>
      </w:pPr>
      <w:r w:rsidRPr="000A2B77">
        <w:rPr>
          <w:rStyle w:val="FootnoteReference"/>
        </w:rPr>
        <w:footnoteRef/>
      </w:r>
      <w:r w:rsidRPr="000A2B77">
        <w:t xml:space="preserve"> </w:t>
      </w:r>
      <w:proofErr w:type="gramStart"/>
      <w:r w:rsidRPr="000A2B77">
        <w:t xml:space="preserve">ibid </w:t>
      </w:r>
      <w:proofErr w:type="spellStart"/>
      <w:r w:rsidRPr="000A2B77">
        <w:t>regs</w:t>
      </w:r>
      <w:proofErr w:type="spellEnd"/>
      <w:r w:rsidRPr="000A2B77">
        <w:t xml:space="preserve"> 57(4) and (6).</w:t>
      </w:r>
      <w:proofErr w:type="gramEnd"/>
    </w:p>
  </w:footnote>
  <w:footnote w:id="125">
    <w:p w:rsidR="00EB3ADB" w:rsidRPr="000A2B77" w:rsidRDefault="00EB3ADB" w:rsidP="004151B6">
      <w:pPr>
        <w:pStyle w:val="PhDFootnotes"/>
      </w:pPr>
      <w:r w:rsidRPr="000A2B77">
        <w:rPr>
          <w:rStyle w:val="FootnoteReference"/>
        </w:rPr>
        <w:footnoteRef/>
      </w:r>
      <w:r w:rsidRPr="000A2B77">
        <w:t xml:space="preserve"> </w:t>
      </w:r>
      <w:proofErr w:type="gramStart"/>
      <w:r w:rsidRPr="000A2B77">
        <w:rPr>
          <w:i/>
        </w:rPr>
        <w:t xml:space="preserve">Mineral Resources </w:t>
      </w:r>
      <w:r w:rsidRPr="000A2B77">
        <w:t>(n 103) 430.</w:t>
      </w:r>
      <w:proofErr w:type="gramEnd"/>
    </w:p>
  </w:footnote>
  <w:footnote w:id="126">
    <w:p w:rsidR="00EB3ADB" w:rsidRPr="000A2B77" w:rsidRDefault="00EB3ADB" w:rsidP="004151B6">
      <w:pPr>
        <w:pStyle w:val="PhDFootnotes"/>
      </w:pPr>
      <w:r w:rsidRPr="000A2B77">
        <w:rPr>
          <w:rStyle w:val="FootnoteReference"/>
        </w:rPr>
        <w:footnoteRef/>
      </w:r>
      <w:r w:rsidRPr="000A2B77">
        <w:t xml:space="preserve"> </w:t>
      </w:r>
      <w:proofErr w:type="gramStart"/>
      <w:r w:rsidRPr="000A2B77">
        <w:t>ibid 430-31.</w:t>
      </w:r>
      <w:proofErr w:type="gramEnd"/>
    </w:p>
  </w:footnote>
  <w:footnote w:id="127">
    <w:p w:rsidR="00EB3ADB" w:rsidRPr="000A2B77" w:rsidRDefault="00EB3ADB" w:rsidP="004151B6">
      <w:pPr>
        <w:pStyle w:val="PhDFootnotes"/>
      </w:pPr>
      <w:r w:rsidRPr="000A2B77">
        <w:rPr>
          <w:rStyle w:val="FootnoteReference"/>
        </w:rPr>
        <w:footnoteRef/>
      </w:r>
      <w:r w:rsidRPr="000A2B77">
        <w:t xml:space="preserve"> </w:t>
      </w:r>
      <w:proofErr w:type="gramStart"/>
      <w:r w:rsidRPr="000A2B77">
        <w:t>ibid 433.</w:t>
      </w:r>
      <w:proofErr w:type="gramEnd"/>
    </w:p>
  </w:footnote>
  <w:footnote w:id="128">
    <w:p w:rsidR="00EB3ADB" w:rsidRPr="000A2B77" w:rsidRDefault="00EB3ADB" w:rsidP="004151B6">
      <w:pPr>
        <w:pStyle w:val="PhDFootnotes"/>
      </w:pPr>
      <w:r w:rsidRPr="000A2B77">
        <w:rPr>
          <w:rStyle w:val="FootnoteReference"/>
        </w:rPr>
        <w:footnoteRef/>
      </w:r>
      <w:r w:rsidRPr="000A2B77">
        <w:t xml:space="preserve"> </w:t>
      </w:r>
      <w:proofErr w:type="gramStart"/>
      <w:r w:rsidRPr="000A2B77">
        <w:t>ibid.</w:t>
      </w:r>
      <w:proofErr w:type="gramEnd"/>
      <w:r w:rsidRPr="000A2B77">
        <w:tab/>
      </w:r>
    </w:p>
  </w:footnote>
  <w:footnote w:id="129">
    <w:p w:rsidR="00EB3ADB" w:rsidRPr="000A2B77" w:rsidRDefault="00EB3ADB" w:rsidP="004151B6">
      <w:pPr>
        <w:pStyle w:val="PhDFootnotes"/>
      </w:pPr>
      <w:r w:rsidRPr="000A2B77">
        <w:rPr>
          <w:rStyle w:val="FootnoteReference"/>
        </w:rPr>
        <w:footnoteRef/>
      </w:r>
      <w:r>
        <w:t xml:space="preserve"> Ibid.</w:t>
      </w:r>
    </w:p>
  </w:footnote>
  <w:footnote w:id="130">
    <w:p w:rsidR="00EB3ADB" w:rsidRPr="000A2B77" w:rsidRDefault="00EB3ADB" w:rsidP="004151B6">
      <w:pPr>
        <w:pStyle w:val="PhDFootnotes"/>
      </w:pPr>
      <w:r w:rsidRPr="000A2B77">
        <w:rPr>
          <w:rStyle w:val="FootnoteReference"/>
        </w:rPr>
        <w:footnoteRef/>
      </w:r>
      <w:r w:rsidRPr="000A2B77">
        <w:t xml:space="preserve"> </w:t>
      </w:r>
      <w:proofErr w:type="gramStart"/>
      <w:r w:rsidRPr="000A2B77">
        <w:t>[2000] BCC 321 (Ch), 236.</w:t>
      </w:r>
      <w:proofErr w:type="gramEnd"/>
    </w:p>
  </w:footnote>
  <w:footnote w:id="131">
    <w:p w:rsidR="00EB3ADB" w:rsidRPr="000A2B77" w:rsidRDefault="00EB3ADB" w:rsidP="004151B6">
      <w:pPr>
        <w:pStyle w:val="PhDFootnotes"/>
      </w:pPr>
      <w:r w:rsidRPr="000A2B77">
        <w:rPr>
          <w:rStyle w:val="FootnoteReference"/>
        </w:rPr>
        <w:footnoteRef/>
      </w:r>
      <w:r w:rsidRPr="000A2B77">
        <w:t xml:space="preserve"> </w:t>
      </w:r>
      <w:proofErr w:type="gramStart"/>
      <w:r w:rsidRPr="000A2B77">
        <w:t>John Armour, ‘Who pays when polluters go bust?’</w:t>
      </w:r>
      <w:proofErr w:type="gramEnd"/>
      <w:r w:rsidRPr="000A2B77">
        <w:t xml:space="preserve"> </w:t>
      </w:r>
      <w:proofErr w:type="gramStart"/>
      <w:r w:rsidRPr="000A2B77">
        <w:t>(2000) LQR 200, 204.</w:t>
      </w:r>
      <w:proofErr w:type="gramEnd"/>
    </w:p>
  </w:footnote>
  <w:footnote w:id="132">
    <w:p w:rsidR="00EB3ADB" w:rsidRPr="000A2B77" w:rsidRDefault="00EB3ADB" w:rsidP="004151B6">
      <w:pPr>
        <w:pStyle w:val="PhDFootnotes"/>
      </w:pPr>
      <w:r w:rsidRPr="000A2B77">
        <w:rPr>
          <w:rStyle w:val="FootnoteReference"/>
        </w:rPr>
        <w:footnoteRef/>
      </w:r>
      <w:r w:rsidRPr="000A2B77">
        <w:t xml:space="preserve"> </w:t>
      </w:r>
      <w:proofErr w:type="gramStart"/>
      <w:r w:rsidRPr="000A2B77">
        <w:t>Peter Patchin, ‘Valuation of Contaminated Properties’ (1988) 56 The Appraisal Journal 1 7.</w:t>
      </w:r>
      <w:proofErr w:type="gramEnd"/>
    </w:p>
  </w:footnote>
  <w:footnote w:id="133">
    <w:p w:rsidR="00EB3ADB" w:rsidRPr="000A2B77" w:rsidRDefault="00EB3ADB" w:rsidP="004151B6">
      <w:pPr>
        <w:pStyle w:val="PhDFootnotes"/>
      </w:pPr>
      <w:r w:rsidRPr="000A2B77">
        <w:rPr>
          <w:rStyle w:val="FootnoteReference"/>
        </w:rPr>
        <w:footnoteRef/>
      </w:r>
      <w:r w:rsidRPr="000A2B77">
        <w:t xml:space="preserve"> </w:t>
      </w:r>
      <w:proofErr w:type="gramStart"/>
      <w:r w:rsidRPr="000A2B77">
        <w:rPr>
          <w:rFonts w:cs="Arial"/>
          <w:i/>
        </w:rPr>
        <w:t xml:space="preserve">Mineral Resources </w:t>
      </w:r>
      <w:r w:rsidRPr="000A2B77">
        <w:rPr>
          <w:rFonts w:cs="Arial"/>
        </w:rPr>
        <w:t>(n 103)</w:t>
      </w:r>
      <w:r w:rsidRPr="000A2B77">
        <w:rPr>
          <w:rFonts w:cs="Arial"/>
          <w:i/>
        </w:rPr>
        <w:t xml:space="preserve"> </w:t>
      </w:r>
      <w:r w:rsidRPr="000A2B77">
        <w:t>431.</w:t>
      </w:r>
      <w:proofErr w:type="gramEnd"/>
      <w:r w:rsidRPr="000A2B77">
        <w:t xml:space="preserve"> </w:t>
      </w:r>
    </w:p>
  </w:footnote>
  <w:footnote w:id="134">
    <w:p w:rsidR="00EB3ADB" w:rsidRPr="000A2B77" w:rsidRDefault="00EB3ADB" w:rsidP="004151B6">
      <w:pPr>
        <w:pStyle w:val="PhDFootnotes"/>
      </w:pPr>
      <w:r w:rsidRPr="000A2B77">
        <w:rPr>
          <w:rStyle w:val="FootnoteReference"/>
          <w:rFonts w:cs="Arial"/>
          <w:szCs w:val="16"/>
        </w:rPr>
        <w:footnoteRef/>
      </w:r>
      <w:r w:rsidRPr="000A2B77">
        <w:t xml:space="preserve"> Nicolas de Sadeleer, </w:t>
      </w:r>
      <w:r w:rsidRPr="000A2B77">
        <w:rPr>
          <w:i/>
        </w:rPr>
        <w:t>Environmental Principles: From Political Slogans to Legal Rules</w:t>
      </w:r>
      <w:r w:rsidRPr="000A2B77">
        <w:t xml:space="preserve"> (OUP 2002) 27.</w:t>
      </w:r>
    </w:p>
  </w:footnote>
  <w:footnote w:id="135">
    <w:p w:rsidR="00EB3ADB" w:rsidRPr="000A2B77" w:rsidRDefault="00EB3ADB" w:rsidP="004151B6">
      <w:pPr>
        <w:pStyle w:val="PhDFootnotes"/>
      </w:pPr>
      <w:r w:rsidRPr="000A2B77">
        <w:rPr>
          <w:rStyle w:val="FootnoteReference"/>
          <w:rFonts w:cs="Arial"/>
          <w:szCs w:val="16"/>
        </w:rPr>
        <w:footnoteRef/>
      </w:r>
      <w:r w:rsidRPr="000A2B77">
        <w:t xml:space="preserve"> </w:t>
      </w:r>
      <w:proofErr w:type="gramStart"/>
      <w:r w:rsidRPr="000A2B77">
        <w:t>Consolidated Version of the Treaty on the Functioning of the European Union (TFEU) [2012] OJ C326/1, art 191(2).</w:t>
      </w:r>
      <w:proofErr w:type="gramEnd"/>
    </w:p>
  </w:footnote>
  <w:footnote w:id="136">
    <w:p w:rsidR="00EB3ADB" w:rsidRPr="000A2B77" w:rsidRDefault="00EB3ADB" w:rsidP="004151B6">
      <w:pPr>
        <w:pStyle w:val="PhDFootnotes"/>
        <w:rPr>
          <w:rFonts w:cs="Arial"/>
          <w:szCs w:val="16"/>
        </w:rPr>
      </w:pPr>
      <w:r w:rsidRPr="000A2B77">
        <w:rPr>
          <w:rStyle w:val="FootnoteReference"/>
          <w:szCs w:val="16"/>
        </w:rPr>
        <w:footnoteRef/>
      </w:r>
      <w:r w:rsidRPr="000A2B77">
        <w:t xml:space="preserve"> </w:t>
      </w:r>
      <w:proofErr w:type="gramStart"/>
      <w:r w:rsidRPr="000A2B77">
        <w:rPr>
          <w:rFonts w:cs="Arial"/>
          <w:szCs w:val="16"/>
        </w:rPr>
        <w:t>Council Recommendation 75/436/Euratom, ECSC, EEC of 3 March 1975 regarding cost allocation and action by public authorities on environmental matters [1975] OJ L194/1 [1].</w:t>
      </w:r>
      <w:proofErr w:type="gramEnd"/>
    </w:p>
  </w:footnote>
  <w:footnote w:id="137">
    <w:p w:rsidR="00EB3ADB" w:rsidRPr="000A2B77" w:rsidRDefault="00EB3ADB" w:rsidP="004151B6">
      <w:pPr>
        <w:pStyle w:val="PhDFootnotes"/>
      </w:pPr>
      <w:r w:rsidRPr="000A2B77">
        <w:rPr>
          <w:rStyle w:val="FootnoteReference"/>
          <w:rFonts w:cs="Arial"/>
          <w:szCs w:val="16"/>
        </w:rPr>
        <w:footnoteRef/>
      </w:r>
      <w:r w:rsidRPr="000A2B77">
        <w:t xml:space="preserve"> </w:t>
      </w:r>
      <w:proofErr w:type="gramStart"/>
      <w:r w:rsidRPr="000A2B77">
        <w:t>Cases C-378/08, C-379/08 and C-380/08</w:t>
      </w:r>
      <w:r w:rsidRPr="000A2B77">
        <w:rPr>
          <w:i/>
        </w:rPr>
        <w:t xml:space="preserve"> Raffinerie Mediterranee (ERG) SpA v Ministero dello Sviluppo Economico </w:t>
      </w:r>
      <w:r w:rsidRPr="000A2B77">
        <w:t>[2010] Env LR 39, Opinion of AG Kokott, paras 85-86.</w:t>
      </w:r>
      <w:proofErr w:type="gramEnd"/>
    </w:p>
  </w:footnote>
  <w:footnote w:id="138">
    <w:p w:rsidR="00EB3ADB" w:rsidRPr="000A2B77" w:rsidRDefault="00EB3ADB" w:rsidP="004151B6">
      <w:pPr>
        <w:pStyle w:val="PhDFootnotes"/>
      </w:pPr>
      <w:r w:rsidRPr="000A2B77">
        <w:rPr>
          <w:rStyle w:val="FootnoteReference"/>
          <w:rFonts w:cs="Arial"/>
          <w:szCs w:val="16"/>
        </w:rPr>
        <w:footnoteRef/>
      </w:r>
      <w:r w:rsidRPr="000A2B77">
        <w:t xml:space="preserve"> ibid para 86; see also TFEU, art 191(2).</w:t>
      </w:r>
    </w:p>
  </w:footnote>
  <w:footnote w:id="139">
    <w:p w:rsidR="00EB3ADB" w:rsidRPr="000A2B77" w:rsidRDefault="00EB3ADB" w:rsidP="004151B6">
      <w:pPr>
        <w:pStyle w:val="PhDFootnotes"/>
      </w:pPr>
      <w:r w:rsidRPr="000A2B77">
        <w:rPr>
          <w:rStyle w:val="FootnoteReference"/>
          <w:rFonts w:cs="Arial"/>
          <w:szCs w:val="16"/>
        </w:rPr>
        <w:footnoteRef/>
      </w:r>
      <w:r w:rsidRPr="000A2B77">
        <w:t xml:space="preserve"> </w:t>
      </w:r>
      <w:proofErr w:type="gramStart"/>
      <w:r w:rsidRPr="000A2B77">
        <w:t>Case C-254/08</w:t>
      </w:r>
      <w:r w:rsidRPr="000A2B77">
        <w:rPr>
          <w:i/>
        </w:rPr>
        <w:t xml:space="preserve"> Futura Immobiliare Srl Hotel Futura v Comune di Casoria </w:t>
      </w:r>
      <w:r w:rsidRPr="000A2B77">
        <w:t>[2009] 3 CMLR 45 1519, Opinion of AG Kokott, para 31.</w:t>
      </w:r>
      <w:proofErr w:type="gramEnd"/>
    </w:p>
  </w:footnote>
  <w:footnote w:id="140">
    <w:p w:rsidR="00EB3ADB" w:rsidRPr="000A2B77" w:rsidRDefault="00EB3ADB" w:rsidP="004151B6">
      <w:pPr>
        <w:pStyle w:val="PhDFootnotes"/>
      </w:pPr>
      <w:r w:rsidRPr="000A2B77">
        <w:rPr>
          <w:rStyle w:val="FootnoteReference"/>
          <w:rFonts w:cs="Arial"/>
          <w:szCs w:val="16"/>
        </w:rPr>
        <w:footnoteRef/>
      </w:r>
      <w:r w:rsidRPr="000A2B77">
        <w:t xml:space="preserve"> </w:t>
      </w:r>
      <w:proofErr w:type="gramStart"/>
      <w:r w:rsidRPr="000A2B77">
        <w:t>Commission, ‘Green Paper on remedying environmental damage’ (Communication) COM (93) 47 final, 5.</w:t>
      </w:r>
      <w:proofErr w:type="gramEnd"/>
    </w:p>
  </w:footnote>
  <w:footnote w:id="141">
    <w:p w:rsidR="00EB3ADB" w:rsidRPr="000A2B77" w:rsidRDefault="00EB3ADB" w:rsidP="004151B6">
      <w:pPr>
        <w:pStyle w:val="PhDFootnotes"/>
      </w:pPr>
      <w:r w:rsidRPr="000A2B77">
        <w:rPr>
          <w:rStyle w:val="FootnoteReference"/>
          <w:rFonts w:cs="Arial"/>
        </w:rPr>
        <w:footnoteRef/>
      </w:r>
      <w:r w:rsidRPr="000A2B77">
        <w:t xml:space="preserve"> Lucas Bergkamp, </w:t>
      </w:r>
      <w:r w:rsidRPr="000A2B77">
        <w:rPr>
          <w:i/>
        </w:rPr>
        <w:t>Liability and Environment: Private and Public Law Aspects of Civil Liability for Environmental Harm in an International Context</w:t>
      </w:r>
      <w:r w:rsidRPr="000A2B77">
        <w:t xml:space="preserve"> (Kluwer Law International 2001) 87.</w:t>
      </w:r>
    </w:p>
  </w:footnote>
  <w:footnote w:id="142">
    <w:p w:rsidR="00EB3ADB" w:rsidRPr="000A2B77" w:rsidRDefault="00EB3ADB" w:rsidP="004151B6">
      <w:pPr>
        <w:pStyle w:val="PhDFootnotes"/>
      </w:pPr>
      <w:r w:rsidRPr="000A2B77">
        <w:rPr>
          <w:rStyle w:val="FootnoteReference"/>
        </w:rPr>
        <w:footnoteRef/>
      </w:r>
      <w:r w:rsidRPr="000A2B77">
        <w:t xml:space="preserve"> </w:t>
      </w:r>
      <w:proofErr w:type="gramStart"/>
      <w:r w:rsidRPr="000A2B77">
        <w:rPr>
          <w:rFonts w:cs="Arial"/>
          <w:i/>
        </w:rPr>
        <w:t xml:space="preserve">Mineral Resources </w:t>
      </w:r>
      <w:r w:rsidRPr="000A2B77">
        <w:rPr>
          <w:rFonts w:cs="Arial"/>
        </w:rPr>
        <w:t>(n 103)</w:t>
      </w:r>
      <w:r w:rsidRPr="000A2B77">
        <w:rPr>
          <w:rFonts w:cs="Arial"/>
          <w:i/>
        </w:rPr>
        <w:t xml:space="preserve"> </w:t>
      </w:r>
      <w:r w:rsidRPr="000A2B77">
        <w:t>431.</w:t>
      </w:r>
      <w:proofErr w:type="gramEnd"/>
    </w:p>
  </w:footnote>
  <w:footnote w:id="143">
    <w:p w:rsidR="00EB3ADB" w:rsidRPr="000A2B77" w:rsidRDefault="00EB3ADB" w:rsidP="004151B6">
      <w:pPr>
        <w:pStyle w:val="PhDFootnotes"/>
      </w:pPr>
      <w:r w:rsidRPr="000A2B77">
        <w:rPr>
          <w:rStyle w:val="FootnoteReference"/>
        </w:rPr>
        <w:footnoteRef/>
      </w:r>
      <w:r w:rsidRPr="000A2B77">
        <w:t xml:space="preserve"> </w:t>
      </w:r>
      <w:proofErr w:type="gramStart"/>
      <w:r w:rsidRPr="000A2B77">
        <w:t>ibid.</w:t>
      </w:r>
      <w:proofErr w:type="gramEnd"/>
      <w:r w:rsidRPr="000A2B77">
        <w:t xml:space="preserve"> </w:t>
      </w:r>
    </w:p>
  </w:footnote>
  <w:footnote w:id="144">
    <w:p w:rsidR="00EB3ADB" w:rsidRPr="000A2B77" w:rsidRDefault="00EB3ADB" w:rsidP="004151B6">
      <w:pPr>
        <w:pStyle w:val="PhDFootnotes"/>
      </w:pPr>
      <w:r w:rsidRPr="000A2B77">
        <w:rPr>
          <w:rStyle w:val="FootnoteReference"/>
        </w:rPr>
        <w:footnoteRef/>
      </w:r>
      <w:r w:rsidRPr="000A2B77">
        <w:t xml:space="preserve"> </w:t>
      </w:r>
      <w:proofErr w:type="gramStart"/>
      <w:r w:rsidRPr="000A2B77">
        <w:rPr>
          <w:rFonts w:cs="Arial"/>
        </w:rPr>
        <w:t>[2013] CSIH 108, 2014 SC 372.</w:t>
      </w:r>
      <w:proofErr w:type="gramEnd"/>
    </w:p>
  </w:footnote>
  <w:footnote w:id="145">
    <w:p w:rsidR="00EB3ADB" w:rsidRPr="000A2B77" w:rsidRDefault="00EB3ADB" w:rsidP="004151B6">
      <w:pPr>
        <w:pStyle w:val="PhDFootnotes"/>
        <w:rPr>
          <w:i/>
        </w:rPr>
      </w:pPr>
      <w:r w:rsidRPr="000A2B77">
        <w:rPr>
          <w:rStyle w:val="FootnoteReference"/>
        </w:rPr>
        <w:footnoteRef/>
      </w:r>
      <w:r w:rsidRPr="000A2B77">
        <w:t xml:space="preserve"> </w:t>
      </w:r>
      <w:proofErr w:type="gramStart"/>
      <w:r w:rsidRPr="000A2B77">
        <w:t>ibid 144, 407.</w:t>
      </w:r>
      <w:proofErr w:type="gramEnd"/>
    </w:p>
  </w:footnote>
  <w:footnote w:id="146">
    <w:p w:rsidR="00EB3ADB" w:rsidRPr="000A2B77" w:rsidRDefault="00EB3ADB" w:rsidP="004151B6">
      <w:pPr>
        <w:pStyle w:val="PhDFootnotes"/>
      </w:pPr>
      <w:r w:rsidRPr="000A2B77">
        <w:rPr>
          <w:rStyle w:val="FootnoteReference"/>
          <w:szCs w:val="16"/>
        </w:rPr>
        <w:footnoteRef/>
      </w:r>
      <w:r w:rsidRPr="000A2B77">
        <w:t xml:space="preserve"> </w:t>
      </w:r>
      <w:proofErr w:type="gramStart"/>
      <w:r w:rsidRPr="000A2B77">
        <w:rPr>
          <w:rFonts w:cs="Arial"/>
          <w:i/>
        </w:rPr>
        <w:t>Celtic Extraction</w:t>
      </w:r>
      <w:r w:rsidRPr="000A2B77">
        <w:t xml:space="preserve"> (n 103) 490-491 (Morritt LJ).</w:t>
      </w:r>
      <w:proofErr w:type="gramEnd"/>
    </w:p>
  </w:footnote>
  <w:footnote w:id="147">
    <w:p w:rsidR="00EB3ADB" w:rsidRPr="000A2B77" w:rsidRDefault="00EB3ADB" w:rsidP="004151B6">
      <w:pPr>
        <w:pStyle w:val="PhDFootnotes"/>
      </w:pPr>
      <w:r w:rsidRPr="000A2B77">
        <w:rPr>
          <w:rStyle w:val="FootnoteReference"/>
          <w:szCs w:val="16"/>
        </w:rPr>
        <w:footnoteRef/>
      </w:r>
      <w:r w:rsidRPr="000A2B77">
        <w:t xml:space="preserve"> </w:t>
      </w:r>
      <w:proofErr w:type="gramStart"/>
      <w:r w:rsidRPr="000A2B77">
        <w:t>ibid 491.</w:t>
      </w:r>
      <w:proofErr w:type="gramEnd"/>
    </w:p>
  </w:footnote>
  <w:footnote w:id="148">
    <w:p w:rsidR="00EB3ADB" w:rsidRPr="000A2B77" w:rsidRDefault="00EB3ADB" w:rsidP="004151B6">
      <w:pPr>
        <w:pStyle w:val="PhDFootnotes"/>
      </w:pPr>
      <w:r w:rsidRPr="000A2B77">
        <w:rPr>
          <w:rStyle w:val="FootnoteReference"/>
        </w:rPr>
        <w:footnoteRef/>
      </w:r>
      <w:r w:rsidRPr="000A2B77">
        <w:t xml:space="preserve"> David Leebron, ‘Limited Liability, Tort Victims, and Creditors’ (1991) 91 Colum L Rev 7 1565, 1643.</w:t>
      </w:r>
      <w:r w:rsidRPr="000A2B77">
        <w:rPr>
          <w:rFonts w:cs="Arial"/>
        </w:rPr>
        <w:t xml:space="preserve"> It may be assumed that, even upon maintenance of the status quo, unsecured creditors will </w:t>
      </w:r>
      <w:r>
        <w:rPr>
          <w:rFonts w:cs="Arial"/>
        </w:rPr>
        <w:t>undertake some form of ex ante risk assessment of the</w:t>
      </w:r>
      <w:r w:rsidRPr="000A2B77">
        <w:rPr>
          <w:rFonts w:cs="Arial"/>
        </w:rPr>
        <w:t xml:space="preserve"> environmental activities of a potential debtor-operator as there is a risk that their credit </w:t>
      </w:r>
      <w:r>
        <w:rPr>
          <w:rFonts w:cs="Arial"/>
        </w:rPr>
        <w:t>could</w:t>
      </w:r>
      <w:r w:rsidRPr="000A2B77">
        <w:rPr>
          <w:rFonts w:cs="Arial"/>
        </w:rPr>
        <w:t xml:space="preserve"> be lost</w:t>
      </w:r>
      <w:r>
        <w:rPr>
          <w:rFonts w:cs="Arial"/>
        </w:rPr>
        <w:t xml:space="preserve"> if these activities are carried out without due care</w:t>
      </w:r>
      <w:r w:rsidRPr="000A2B77">
        <w:rPr>
          <w:rFonts w:cs="Arial"/>
        </w:rPr>
        <w:t xml:space="preserve">. However, the further dilution of any cost recovery </w:t>
      </w:r>
      <w:r>
        <w:rPr>
          <w:rFonts w:cs="Arial"/>
        </w:rPr>
        <w:t xml:space="preserve">resulting from the prioritisation of the polluter-pays principle will amplify </w:t>
      </w:r>
      <w:r w:rsidRPr="000A2B77">
        <w:rPr>
          <w:rFonts w:cs="Arial"/>
        </w:rPr>
        <w:t>the incentive to monitor.</w:t>
      </w:r>
    </w:p>
  </w:footnote>
  <w:footnote w:id="149">
    <w:p w:rsidR="00EB3ADB" w:rsidRPr="000A2B77" w:rsidRDefault="00EB3ADB" w:rsidP="004151B6">
      <w:pPr>
        <w:pStyle w:val="PhDFootnotes"/>
      </w:pPr>
      <w:r w:rsidRPr="000A2B77">
        <w:rPr>
          <w:rStyle w:val="FootnoteReference"/>
        </w:rPr>
        <w:footnoteRef/>
      </w:r>
      <w:r w:rsidRPr="000A2B77">
        <w:t xml:space="preserve"> The fact that there may be potential in harnessing the quasi-regulatory capacities of third-parties is not new. A potential for ‘surrogate’ regulation has been observed in relation to</w:t>
      </w:r>
      <w:r>
        <w:t>, inter alia,</w:t>
      </w:r>
      <w:r w:rsidRPr="000A2B77">
        <w:t xml:space="preserve"> insurers and financial institutions: Steven Kunzman, ‘The Insurer as Surrogate Regulator of the Hazardous Waste Industry: Solution or Perversion (1984) The Forum 20 469; Kenneth Abraham, ‘Environmental Liability and the Limits of Insurance’ (1988) 88 Colum L Rev 5 942; Neil Gunningham, Pete Grabosky and Darren Sinclair, </w:t>
      </w:r>
      <w:r w:rsidRPr="000A2B77">
        <w:rPr>
          <w:i/>
        </w:rPr>
        <w:t>Smart Regulation: Designing Environmental Policy</w:t>
      </w:r>
      <w:r w:rsidRPr="000A2B77">
        <w:t xml:space="preserve"> (OUP 1998).</w:t>
      </w:r>
    </w:p>
  </w:footnote>
  <w:footnote w:id="150">
    <w:p w:rsidR="00EB3ADB" w:rsidRPr="000A2B77" w:rsidRDefault="00EB3ADB" w:rsidP="004151B6">
      <w:pPr>
        <w:pStyle w:val="PhDFootnotes"/>
      </w:pPr>
      <w:r w:rsidRPr="000A2B77">
        <w:rPr>
          <w:rStyle w:val="FootnoteReference"/>
          <w:rFonts w:cs="Arial"/>
        </w:rPr>
        <w:footnoteRef/>
      </w:r>
      <w:r w:rsidRPr="000A2B77">
        <w:t xml:space="preserve"> Gunningham </w:t>
      </w:r>
      <w:r w:rsidRPr="000A2B77">
        <w:rPr>
          <w:i/>
        </w:rPr>
        <w:t xml:space="preserve">et al </w:t>
      </w:r>
      <w:r w:rsidRPr="000A2B77">
        <w:t>(n 149) 250.</w:t>
      </w:r>
    </w:p>
  </w:footnote>
  <w:footnote w:id="151">
    <w:p w:rsidR="00EB3ADB" w:rsidRPr="000A2B77" w:rsidRDefault="00EB3ADB" w:rsidP="004151B6">
      <w:pPr>
        <w:pStyle w:val="PhDFootnotes"/>
      </w:pPr>
      <w:r w:rsidRPr="000A2B77">
        <w:rPr>
          <w:rStyle w:val="FootnoteReference"/>
        </w:rPr>
        <w:footnoteRef/>
      </w:r>
      <w:r w:rsidRPr="000A2B77">
        <w:t xml:space="preserve"> Defra, ‘Waste Crime’ (n 2) 33.</w:t>
      </w:r>
    </w:p>
  </w:footnote>
  <w:footnote w:id="152">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In respect of the contaminated land regime see EPA 1990, ss </w:t>
      </w:r>
      <w:proofErr w:type="gramStart"/>
      <w:r w:rsidRPr="000A2B77">
        <w:rPr>
          <w:szCs w:val="16"/>
        </w:rPr>
        <w:t>78P(</w:t>
      </w:r>
      <w:proofErr w:type="gramEnd"/>
      <w:r w:rsidRPr="000A2B77">
        <w:rPr>
          <w:szCs w:val="16"/>
        </w:rPr>
        <w:t>3)(a)(</w:t>
      </w:r>
      <w:proofErr w:type="spellStart"/>
      <w:r w:rsidRPr="000A2B77">
        <w:rPr>
          <w:szCs w:val="16"/>
        </w:rPr>
        <w:t>i</w:t>
      </w:r>
      <w:proofErr w:type="spellEnd"/>
      <w:r w:rsidRPr="000A2B77">
        <w:rPr>
          <w:szCs w:val="16"/>
        </w:rPr>
        <w:t xml:space="preserve">) and 78P(4)(b). In respect of statutory nuisances see ibid, s </w:t>
      </w:r>
      <w:proofErr w:type="gramStart"/>
      <w:r w:rsidRPr="000A2B77">
        <w:rPr>
          <w:szCs w:val="16"/>
        </w:rPr>
        <w:t>81A(</w:t>
      </w:r>
      <w:proofErr w:type="gramEnd"/>
      <w:r w:rsidRPr="000A2B77">
        <w:rPr>
          <w:szCs w:val="16"/>
        </w:rPr>
        <w:t>1)(b). In respect of environmental damage, see text accompanying footnotes 158-162 below.</w:t>
      </w:r>
    </w:p>
  </w:footnote>
  <w:footnote w:id="153">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w:t>
      </w:r>
      <w:proofErr w:type="gramStart"/>
      <w:r w:rsidRPr="000A2B77">
        <w:rPr>
          <w:szCs w:val="16"/>
        </w:rPr>
        <w:t>Directive 2004/35/CE on environmental liability with regard to the prevention and remedying of environmental damage [2004] OJ L143/56.</w:t>
      </w:r>
      <w:proofErr w:type="gramEnd"/>
    </w:p>
  </w:footnote>
  <w:footnote w:id="154">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ibid art 1.</w:t>
      </w:r>
    </w:p>
  </w:footnote>
  <w:footnote w:id="155">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ibid art 1 and Annex III.</w:t>
      </w:r>
    </w:p>
  </w:footnote>
  <w:footnote w:id="156">
    <w:p w:rsidR="00EB3ADB" w:rsidRPr="000A2B77" w:rsidRDefault="00EB3ADB" w:rsidP="004151B6">
      <w:pPr>
        <w:pStyle w:val="PhDFootnotes"/>
      </w:pPr>
      <w:r w:rsidRPr="000A2B77">
        <w:rPr>
          <w:rStyle w:val="FootnoteReference"/>
        </w:rPr>
        <w:footnoteRef/>
      </w:r>
      <w:r w:rsidRPr="000A2B77">
        <w:t xml:space="preserve"> ibid arts 5(4) and 6(3).</w:t>
      </w:r>
    </w:p>
  </w:footnote>
  <w:footnote w:id="157">
    <w:p w:rsidR="00EB3ADB" w:rsidRPr="000A2B77" w:rsidRDefault="00EB3ADB" w:rsidP="004151B6">
      <w:pPr>
        <w:pStyle w:val="PhDFootnotes"/>
        <w:rPr>
          <w:szCs w:val="16"/>
        </w:rPr>
      </w:pPr>
      <w:r w:rsidRPr="000A2B77">
        <w:rPr>
          <w:rStyle w:val="FootnoteReference"/>
        </w:rPr>
        <w:footnoteRef/>
      </w:r>
      <w:r w:rsidRPr="000A2B77">
        <w:t xml:space="preserve"> </w:t>
      </w:r>
      <w:r w:rsidRPr="000A2B77">
        <w:rPr>
          <w:szCs w:val="16"/>
        </w:rPr>
        <w:t>ibid art 8(2).</w:t>
      </w:r>
    </w:p>
  </w:footnote>
  <w:footnote w:id="158">
    <w:p w:rsidR="00EB3ADB" w:rsidRPr="000A2B77" w:rsidRDefault="00EB3ADB" w:rsidP="004151B6">
      <w:pPr>
        <w:pStyle w:val="PhDFootnotes"/>
        <w:rPr>
          <w:szCs w:val="16"/>
        </w:rPr>
      </w:pPr>
      <w:r w:rsidRPr="000A2B77">
        <w:rPr>
          <w:rStyle w:val="FootnoteReference"/>
          <w:szCs w:val="16"/>
        </w:rPr>
        <w:footnoteRef/>
      </w:r>
      <w:r w:rsidRPr="000A2B77">
        <w:rPr>
          <w:szCs w:val="16"/>
        </w:rPr>
        <w:t xml:space="preserve"> Environmental Damage (Prevention and Remediation) (Wales) Regulations 2009, SI 2009/995 (as amended) (the ‘Welsh Regulations’).</w:t>
      </w:r>
    </w:p>
  </w:footnote>
  <w:footnote w:id="159">
    <w:p w:rsidR="00EB3ADB" w:rsidRPr="000A2B77" w:rsidRDefault="00EB3ADB" w:rsidP="004151B6">
      <w:pPr>
        <w:pStyle w:val="PhDFootnotes"/>
      </w:pPr>
      <w:r w:rsidRPr="000A2B77">
        <w:rPr>
          <w:rStyle w:val="FootnoteReference"/>
          <w:szCs w:val="16"/>
        </w:rPr>
        <w:footnoteRef/>
      </w:r>
      <w:r w:rsidRPr="000A2B77">
        <w:rPr>
          <w:szCs w:val="16"/>
        </w:rPr>
        <w:t xml:space="preserve"> EDR</w:t>
      </w:r>
      <w:r w:rsidRPr="000A2B77">
        <w:t>, reg 27(1) (emphasis added).</w:t>
      </w:r>
    </w:p>
  </w:footnote>
  <w:footnote w:id="160">
    <w:p w:rsidR="00EB3ADB" w:rsidRPr="000A2B77" w:rsidRDefault="00EB3ADB" w:rsidP="004151B6">
      <w:pPr>
        <w:pStyle w:val="PhDFootnotes"/>
      </w:pPr>
      <w:r w:rsidRPr="000A2B77">
        <w:rPr>
          <w:rStyle w:val="FootnoteReference"/>
        </w:rPr>
        <w:footnoteRef/>
      </w:r>
      <w:r w:rsidRPr="000A2B77">
        <w:t xml:space="preserve"> Environmental Damage (Prevention and Remediation) Regulations 2009, SI 2009/153, reg 27(1) (emphasis added).</w:t>
      </w:r>
    </w:p>
  </w:footnote>
  <w:footnote w:id="161">
    <w:p w:rsidR="00EB3ADB" w:rsidRPr="000A2B77" w:rsidRDefault="00EB3ADB" w:rsidP="004151B6">
      <w:pPr>
        <w:pStyle w:val="PhDFootnotes"/>
      </w:pPr>
      <w:r w:rsidRPr="000A2B77">
        <w:rPr>
          <w:rStyle w:val="FootnoteReference"/>
        </w:rPr>
        <w:footnoteRef/>
      </w:r>
      <w:r w:rsidRPr="000A2B77">
        <w:t xml:space="preserve"> </w:t>
      </w:r>
      <w:proofErr w:type="gramStart"/>
      <w:r w:rsidRPr="000A2B77">
        <w:t>Welsh Regulations (n 158), reg 27(1).</w:t>
      </w:r>
      <w:proofErr w:type="gramEnd"/>
    </w:p>
  </w:footnote>
  <w:footnote w:id="162">
    <w:p w:rsidR="00EB3ADB" w:rsidRPr="000A2B77" w:rsidRDefault="00EB3ADB" w:rsidP="004151B6">
      <w:pPr>
        <w:pStyle w:val="PhDFootnotes"/>
      </w:pPr>
      <w:r w:rsidRPr="000A2B77">
        <w:rPr>
          <w:rStyle w:val="FootnoteReference"/>
        </w:rPr>
        <w:footnoteRef/>
      </w:r>
      <w:r w:rsidRPr="000A2B77">
        <w:t xml:space="preserve"> ibid.</w:t>
      </w:r>
    </w:p>
  </w:footnote>
  <w:footnote w:id="163">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w:t>
      </w:r>
      <w:proofErr w:type="gramStart"/>
      <w:r w:rsidRPr="000A2B77">
        <w:rPr>
          <w:rFonts w:cs="Arial"/>
          <w:szCs w:val="16"/>
        </w:rPr>
        <w:t>[1928] Ch 567.</w:t>
      </w:r>
      <w:proofErr w:type="gramEnd"/>
    </w:p>
  </w:footnote>
  <w:footnote w:id="164">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w:t>
      </w:r>
      <w:proofErr w:type="gramStart"/>
      <w:r w:rsidRPr="000A2B77">
        <w:rPr>
          <w:rFonts w:cs="Arial"/>
          <w:szCs w:val="16"/>
        </w:rPr>
        <w:t>ibid 572 (Russell J).</w:t>
      </w:r>
      <w:proofErr w:type="gramEnd"/>
    </w:p>
  </w:footnote>
  <w:footnote w:id="165">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w:t>
      </w:r>
      <w:proofErr w:type="gramStart"/>
      <w:r w:rsidRPr="000A2B77">
        <w:rPr>
          <w:rFonts w:cs="Arial"/>
          <w:szCs w:val="16"/>
        </w:rPr>
        <w:t>ibid 575 (Russell J).</w:t>
      </w:r>
      <w:proofErr w:type="gramEnd"/>
    </w:p>
  </w:footnote>
  <w:footnote w:id="166">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w:t>
      </w:r>
      <w:proofErr w:type="gramStart"/>
      <w:r w:rsidRPr="000A2B77">
        <w:rPr>
          <w:rFonts w:cs="Arial"/>
          <w:szCs w:val="16"/>
        </w:rPr>
        <w:t>[1928] 2 KB 622 (KBD).</w:t>
      </w:r>
      <w:proofErr w:type="gramEnd"/>
    </w:p>
  </w:footnote>
  <w:footnote w:id="167">
    <w:p w:rsidR="00EB3ADB" w:rsidRPr="000A2B77" w:rsidRDefault="00EB3ADB" w:rsidP="004151B6">
      <w:pPr>
        <w:pStyle w:val="PhDFootnotes"/>
        <w:rPr>
          <w:rFonts w:cs="Arial"/>
        </w:rPr>
      </w:pPr>
      <w:r w:rsidRPr="000A2B77">
        <w:rPr>
          <w:rStyle w:val="FootnoteReference"/>
          <w:rFonts w:cs="Arial"/>
          <w:szCs w:val="16"/>
        </w:rPr>
        <w:footnoteRef/>
      </w:r>
      <w:r w:rsidRPr="000A2B77">
        <w:rPr>
          <w:rFonts w:cs="Arial"/>
          <w:szCs w:val="16"/>
        </w:rPr>
        <w:t xml:space="preserve"> </w:t>
      </w:r>
      <w:proofErr w:type="gramStart"/>
      <w:r w:rsidRPr="000A2B77">
        <w:rPr>
          <w:rFonts w:cs="Arial"/>
          <w:szCs w:val="16"/>
        </w:rPr>
        <w:t>[1981] 1 WLR 677 (CA).</w:t>
      </w:r>
      <w:proofErr w:type="gramEnd"/>
    </w:p>
  </w:footnote>
  <w:footnote w:id="168">
    <w:p w:rsidR="00EB3ADB" w:rsidRPr="000A2B77" w:rsidRDefault="00EB3ADB" w:rsidP="004151B6">
      <w:pPr>
        <w:pStyle w:val="PhDFootnotes"/>
        <w:rPr>
          <w:rFonts w:cs="Arial"/>
        </w:rPr>
      </w:pPr>
      <w:r w:rsidRPr="000A2B77">
        <w:rPr>
          <w:rStyle w:val="FootnoteReference"/>
        </w:rPr>
        <w:footnoteRef/>
      </w:r>
      <w:r w:rsidRPr="000A2B77">
        <w:t xml:space="preserve"> </w:t>
      </w:r>
      <w:r w:rsidRPr="000A2B77">
        <w:rPr>
          <w:rFonts w:cs="Arial"/>
        </w:rPr>
        <w:t xml:space="preserve">‘If there be a charge on the houses it is a charge on the total ownership - if I may call it so, on the proprietorship; not on any particular section or portion of the proprietorship, but on the whole’: </w:t>
      </w:r>
      <w:r w:rsidRPr="000A2B77">
        <w:rPr>
          <w:rFonts w:cs="Arial"/>
          <w:i/>
        </w:rPr>
        <w:t>Birmingham Corporation v Baker</w:t>
      </w:r>
      <w:r w:rsidRPr="000A2B77">
        <w:rPr>
          <w:rFonts w:cs="Arial"/>
        </w:rPr>
        <w:t xml:space="preserve"> (1881) 17 Ch D 782, 786 (Sir George Jessel MR); ‘All the Act does is to create a charge on the premises - that is, on the land - that is, on all the interests of the owners of the land’: </w:t>
      </w:r>
      <w:r w:rsidRPr="000A2B77">
        <w:rPr>
          <w:rFonts w:cs="Arial"/>
          <w:i/>
        </w:rPr>
        <w:t>Guardians of Tendring Union v Dowton</w:t>
      </w:r>
      <w:r w:rsidRPr="000A2B77">
        <w:rPr>
          <w:rFonts w:cs="Arial"/>
        </w:rPr>
        <w:t xml:space="preserve"> [1891] 3 Ch 265, 269 (Fry LJ).</w:t>
      </w:r>
    </w:p>
  </w:footnote>
  <w:footnote w:id="169">
    <w:p w:rsidR="00EB3ADB" w:rsidRPr="000A2B77" w:rsidRDefault="00EB3ADB" w:rsidP="004151B6">
      <w:pPr>
        <w:pStyle w:val="PhDFootnotes"/>
      </w:pPr>
      <w:r w:rsidRPr="000A2B77">
        <w:rPr>
          <w:rStyle w:val="FootnoteReference"/>
        </w:rPr>
        <w:footnoteRef/>
      </w:r>
      <w:r w:rsidRPr="000A2B77">
        <w:t xml:space="preserve"> </w:t>
      </w:r>
      <w:proofErr w:type="gramStart"/>
      <w:r w:rsidRPr="000A2B77">
        <w:rPr>
          <w:i/>
        </w:rPr>
        <w:t>Haymarket</w:t>
      </w:r>
      <w:r w:rsidRPr="000A2B77">
        <w:t xml:space="preserve"> (n 167) 681 (Lord Denning MR).</w:t>
      </w:r>
      <w:proofErr w:type="gramEnd"/>
    </w:p>
  </w:footnote>
  <w:footnote w:id="170">
    <w:p w:rsidR="00EB3ADB" w:rsidRPr="000A2B77" w:rsidRDefault="00EB3ADB" w:rsidP="004151B6">
      <w:pPr>
        <w:pStyle w:val="PhDFootnotes"/>
      </w:pPr>
      <w:r w:rsidRPr="000A2B77">
        <w:rPr>
          <w:rStyle w:val="FootnoteReference"/>
        </w:rPr>
        <w:footnoteRef/>
      </w:r>
      <w:r w:rsidRPr="000A2B77">
        <w:t xml:space="preserve"> ibid</w:t>
      </w:r>
      <w:r w:rsidRPr="000A2B77">
        <w:rPr>
          <w:i/>
        </w:rPr>
        <w:t>.</w:t>
      </w:r>
    </w:p>
  </w:footnote>
  <w:footnote w:id="171">
    <w:p w:rsidR="00EB3ADB" w:rsidRPr="000A2B77" w:rsidRDefault="00EB3ADB" w:rsidP="004151B6">
      <w:pPr>
        <w:pStyle w:val="PhDFootnotes"/>
      </w:pPr>
      <w:r w:rsidRPr="000A2B77">
        <w:rPr>
          <w:rStyle w:val="FootnoteReference"/>
        </w:rPr>
        <w:footnoteRef/>
      </w:r>
      <w:r w:rsidRPr="000A2B77">
        <w:t xml:space="preserve"> </w:t>
      </w:r>
      <w:proofErr w:type="gramStart"/>
      <w:r w:rsidRPr="000A2B77">
        <w:t>ibid 681-82 (Oliver LJ).</w:t>
      </w:r>
      <w:proofErr w:type="gramEnd"/>
    </w:p>
  </w:footnote>
  <w:footnote w:id="172">
    <w:p w:rsidR="00EB3ADB" w:rsidRPr="000A2B77" w:rsidRDefault="00EB3ADB" w:rsidP="004151B6">
      <w:pPr>
        <w:pStyle w:val="PhDFootnotes"/>
      </w:pPr>
      <w:r w:rsidRPr="000A2B77">
        <w:rPr>
          <w:rStyle w:val="FootnoteReference"/>
        </w:rPr>
        <w:footnoteRef/>
      </w:r>
      <w:r w:rsidRPr="000A2B77">
        <w:t xml:space="preserve"> </w:t>
      </w:r>
      <w:proofErr w:type="gramStart"/>
      <w:r w:rsidRPr="000A2B77">
        <w:t>Leebron (n 148) 1638.</w:t>
      </w:r>
      <w:proofErr w:type="gramEnd"/>
    </w:p>
  </w:footnote>
  <w:footnote w:id="173">
    <w:p w:rsidR="00EB3ADB" w:rsidRPr="000A2B77" w:rsidRDefault="00EB3ADB" w:rsidP="004151B6">
      <w:pPr>
        <w:pStyle w:val="PhDFootnotes"/>
      </w:pPr>
      <w:r w:rsidRPr="000A2B77">
        <w:rPr>
          <w:rStyle w:val="FootnoteReference"/>
        </w:rPr>
        <w:footnoteRef/>
      </w:r>
      <w:r w:rsidRPr="000A2B77">
        <w:t xml:space="preserve"> </w:t>
      </w:r>
      <w:proofErr w:type="gramStart"/>
      <w:r w:rsidRPr="000A2B77">
        <w:t>ibid 1584.</w:t>
      </w:r>
      <w:proofErr w:type="gramEnd"/>
    </w:p>
  </w:footnote>
  <w:footnote w:id="174">
    <w:p w:rsidR="00EB3ADB" w:rsidRPr="000A2B77" w:rsidRDefault="00EB3ADB" w:rsidP="004151B6">
      <w:pPr>
        <w:pStyle w:val="PhDFootnotes"/>
      </w:pPr>
      <w:r w:rsidRPr="000A2B77">
        <w:rPr>
          <w:rStyle w:val="FootnoteReference"/>
        </w:rPr>
        <w:footnoteRef/>
      </w:r>
      <w:r w:rsidRPr="000A2B77">
        <w:t xml:space="preserve"> Andrew Keay and Paula de Prez, ‘Insolvency and Environmental Principles: A Case Study in a Conflict Public Interests’ (2001) 3 ELR 2 90, 102.</w:t>
      </w:r>
    </w:p>
  </w:footnote>
  <w:footnote w:id="175">
    <w:p w:rsidR="00EB3ADB" w:rsidRPr="000A2B77" w:rsidRDefault="00EB3ADB" w:rsidP="004151B6">
      <w:pPr>
        <w:pStyle w:val="PhDFootnotes"/>
      </w:pPr>
      <w:r w:rsidRPr="000A2B77">
        <w:rPr>
          <w:rStyle w:val="FootnoteReference"/>
        </w:rPr>
        <w:footnoteRef/>
      </w:r>
      <w:r w:rsidRPr="000A2B77">
        <w:t xml:space="preserve"> ibid.</w:t>
      </w:r>
    </w:p>
  </w:footnote>
  <w:footnote w:id="176">
    <w:p w:rsidR="00EB3ADB" w:rsidRPr="000A2B77" w:rsidRDefault="00EB3ADB" w:rsidP="004151B6">
      <w:pPr>
        <w:pStyle w:val="PhDFootnotes"/>
      </w:pPr>
      <w:r w:rsidRPr="000A2B77">
        <w:rPr>
          <w:rStyle w:val="FootnoteReference"/>
        </w:rPr>
        <w:footnoteRef/>
      </w:r>
      <w:r w:rsidRPr="000A2B77">
        <w:t xml:space="preserve"> Leebron (n 148) 1643; Armour (n 131) 203.</w:t>
      </w:r>
    </w:p>
  </w:footnote>
  <w:footnote w:id="177">
    <w:p w:rsidR="00EB3ADB" w:rsidRPr="000A2B77" w:rsidRDefault="00EB3ADB" w:rsidP="004151B6">
      <w:pPr>
        <w:pStyle w:val="PhDFootnotes"/>
      </w:pPr>
      <w:r w:rsidRPr="000A2B77">
        <w:rPr>
          <w:rStyle w:val="FootnoteReference"/>
        </w:rPr>
        <w:footnoteRef/>
      </w:r>
      <w:r w:rsidRPr="000A2B77">
        <w:t xml:space="preserve"> </w:t>
      </w:r>
      <w:proofErr w:type="gramStart"/>
      <w:r w:rsidRPr="000A2B77">
        <w:t>Leebron (n 148) 1644.</w:t>
      </w:r>
      <w:proofErr w:type="gramEnd"/>
      <w:r w:rsidRPr="000A2B77">
        <w:t xml:space="preserve"> The potential for lenders not to have access to expertise on environmental risks is increasingly rare; many, if not most, lenders have in-house environmental expertise or routinely obtain advice from environmental consultants.</w:t>
      </w:r>
    </w:p>
  </w:footnote>
  <w:footnote w:id="178">
    <w:p w:rsidR="00EB3ADB" w:rsidRPr="000A2B77" w:rsidRDefault="00EB3ADB" w:rsidP="004151B6">
      <w:pPr>
        <w:pStyle w:val="PhDFootnotes"/>
      </w:pPr>
      <w:r w:rsidRPr="000A2B77">
        <w:rPr>
          <w:rStyle w:val="FootnoteReference"/>
        </w:rPr>
        <w:footnoteRef/>
      </w:r>
      <w:r w:rsidRPr="000A2B77">
        <w:t xml:space="preserve"> ibid.</w:t>
      </w:r>
    </w:p>
  </w:footnote>
  <w:footnote w:id="179">
    <w:p w:rsidR="00EB3ADB" w:rsidRPr="000A2B77" w:rsidRDefault="00EB3ADB" w:rsidP="004151B6">
      <w:pPr>
        <w:pStyle w:val="PhDFootnotes"/>
      </w:pPr>
      <w:r w:rsidRPr="000A2B77">
        <w:rPr>
          <w:rStyle w:val="FootnoteReference"/>
        </w:rPr>
        <w:footnoteRef/>
      </w:r>
      <w:r w:rsidRPr="000A2B77">
        <w:t xml:space="preserve"> ibid.</w:t>
      </w:r>
    </w:p>
  </w:footnote>
  <w:footnote w:id="180">
    <w:p w:rsidR="00EB3ADB" w:rsidRPr="000A2B77" w:rsidRDefault="00EB3ADB" w:rsidP="004151B6">
      <w:pPr>
        <w:pStyle w:val="PhDFootnotes"/>
      </w:pPr>
      <w:r w:rsidRPr="000A2B77">
        <w:rPr>
          <w:rStyle w:val="FootnoteReference"/>
        </w:rPr>
        <w:footnoteRef/>
      </w:r>
      <w:r w:rsidRPr="000A2B77">
        <w:t xml:space="preserve"> ibid 1584; Armour (n 131) 203.</w:t>
      </w:r>
    </w:p>
  </w:footnote>
  <w:footnote w:id="181">
    <w:p w:rsidR="00EB3ADB" w:rsidRPr="000A2B77" w:rsidRDefault="00EB3ADB" w:rsidP="004151B6">
      <w:pPr>
        <w:pStyle w:val="PhDFootnotes"/>
      </w:pPr>
      <w:r w:rsidRPr="000A2B77">
        <w:rPr>
          <w:rStyle w:val="FootnoteReference"/>
        </w:rPr>
        <w:footnoteRef/>
      </w:r>
      <w:r w:rsidRPr="000A2B77">
        <w:t xml:space="preserve"> </w:t>
      </w:r>
      <w:proofErr w:type="gramStart"/>
      <w:r w:rsidRPr="000A2B77">
        <w:t>Leebron (n 148) 1601 and 1643.</w:t>
      </w:r>
      <w:proofErr w:type="gramEnd"/>
    </w:p>
  </w:footnote>
  <w:footnote w:id="182">
    <w:p w:rsidR="00EB3ADB" w:rsidRPr="000A2B77" w:rsidRDefault="00EB3ADB" w:rsidP="004151B6">
      <w:pPr>
        <w:pStyle w:val="PhDFootnotes"/>
      </w:pPr>
      <w:r w:rsidRPr="000A2B77">
        <w:rPr>
          <w:rStyle w:val="FootnoteReference"/>
        </w:rPr>
        <w:footnoteRef/>
      </w:r>
      <w:r w:rsidRPr="000A2B77">
        <w:t xml:space="preserve"> </w:t>
      </w:r>
      <w:proofErr w:type="gramStart"/>
      <w:r w:rsidRPr="000A2B77">
        <w:t>ibid 1644.</w:t>
      </w:r>
      <w:proofErr w:type="gramEnd"/>
    </w:p>
  </w:footnote>
  <w:footnote w:id="183">
    <w:p w:rsidR="00EB3ADB" w:rsidRPr="000A2B77" w:rsidRDefault="00EB3ADB" w:rsidP="004151B6">
      <w:pPr>
        <w:pStyle w:val="PhDFootnotes"/>
      </w:pPr>
      <w:r w:rsidRPr="000A2B77">
        <w:rPr>
          <w:rStyle w:val="FootnoteReference"/>
        </w:rPr>
        <w:footnoteRef/>
      </w:r>
      <w:r w:rsidRPr="000A2B77">
        <w:t xml:space="preserve"> </w:t>
      </w:r>
      <w:proofErr w:type="gramStart"/>
      <w:r w:rsidRPr="000A2B77">
        <w:t>ibid 1647.</w:t>
      </w:r>
      <w:proofErr w:type="gramEnd"/>
    </w:p>
  </w:footnote>
  <w:footnote w:id="184">
    <w:p w:rsidR="00EB3ADB" w:rsidRPr="000A2B77" w:rsidRDefault="00EB3ADB" w:rsidP="004151B6">
      <w:pPr>
        <w:pStyle w:val="PhDFootnotes"/>
      </w:pPr>
      <w:r w:rsidRPr="000A2B77">
        <w:rPr>
          <w:rStyle w:val="FootnoteReference"/>
        </w:rPr>
        <w:footnoteRef/>
      </w:r>
      <w:r w:rsidRPr="000A2B77">
        <w:t xml:space="preserve"> ibid.</w:t>
      </w:r>
    </w:p>
  </w:footnote>
  <w:footnote w:id="185">
    <w:p w:rsidR="00EB3ADB" w:rsidRPr="000A2B77" w:rsidRDefault="00EB3ADB" w:rsidP="004151B6">
      <w:pPr>
        <w:pStyle w:val="PhDFootnotes"/>
      </w:pPr>
      <w:r w:rsidRPr="000A2B77">
        <w:rPr>
          <w:rStyle w:val="FootnoteReference"/>
        </w:rPr>
        <w:footnoteRef/>
      </w:r>
      <w:r w:rsidRPr="000A2B77">
        <w:t xml:space="preserve"> </w:t>
      </w:r>
      <w:proofErr w:type="gramStart"/>
      <w:r w:rsidRPr="000A2B77">
        <w:t>ibid 1589.</w:t>
      </w:r>
      <w:proofErr w:type="gramEnd"/>
    </w:p>
  </w:footnote>
  <w:footnote w:id="186">
    <w:p w:rsidR="00EB3ADB" w:rsidRPr="000A2B77" w:rsidRDefault="00EB3ADB" w:rsidP="004151B6">
      <w:pPr>
        <w:pStyle w:val="PhDFootnotes"/>
      </w:pPr>
      <w:r w:rsidRPr="000A2B77">
        <w:rPr>
          <w:rStyle w:val="FootnoteReference"/>
        </w:rPr>
        <w:footnoteRef/>
      </w:r>
      <w:r w:rsidRPr="000A2B77">
        <w:t xml:space="preserve"> </w:t>
      </w:r>
      <w:proofErr w:type="gramStart"/>
      <w:r w:rsidRPr="000A2B77">
        <w:t>Patchin (n 132).</w:t>
      </w:r>
      <w:proofErr w:type="gramEnd"/>
    </w:p>
  </w:footnote>
  <w:footnote w:id="187">
    <w:p w:rsidR="00EB3ADB" w:rsidRPr="000A2B77" w:rsidRDefault="00EB3ADB" w:rsidP="004151B6">
      <w:pPr>
        <w:pStyle w:val="PhDFootnotes"/>
      </w:pPr>
      <w:r w:rsidRPr="000A2B77">
        <w:rPr>
          <w:rStyle w:val="FootnoteReference"/>
        </w:rPr>
        <w:footnoteRef/>
      </w:r>
      <w:r w:rsidRPr="000A2B77">
        <w:t xml:space="preserve"> ibid.</w:t>
      </w:r>
    </w:p>
  </w:footnote>
  <w:footnote w:id="188">
    <w:p w:rsidR="00EB3ADB" w:rsidRPr="000A2B77" w:rsidRDefault="00EB3ADB" w:rsidP="004151B6">
      <w:pPr>
        <w:pStyle w:val="PhDFootnotes"/>
      </w:pPr>
      <w:r w:rsidRPr="000A2B77">
        <w:rPr>
          <w:rStyle w:val="FootnoteReference"/>
        </w:rPr>
        <w:footnoteRef/>
      </w:r>
      <w:r w:rsidRPr="000A2B77">
        <w:t xml:space="preserve"> </w:t>
      </w:r>
      <w:proofErr w:type="gramStart"/>
      <w:r w:rsidRPr="000A2B77">
        <w:t>IA 1986, s 239(4).</w:t>
      </w:r>
      <w:proofErr w:type="gramEnd"/>
      <w:r w:rsidRPr="000A2B77">
        <w:t xml:space="preserve"> </w:t>
      </w:r>
    </w:p>
  </w:footnote>
  <w:footnote w:id="189">
    <w:p w:rsidR="00EB3ADB" w:rsidRPr="000A2B77" w:rsidRDefault="00EB3ADB" w:rsidP="004151B6">
      <w:pPr>
        <w:pStyle w:val="PhDFootnotes"/>
      </w:pPr>
      <w:r w:rsidRPr="000A2B77">
        <w:rPr>
          <w:rStyle w:val="FootnoteReference"/>
        </w:rPr>
        <w:footnoteRef/>
      </w:r>
      <w:r w:rsidRPr="000A2B77">
        <w:t xml:space="preserve"> Andrew Keay and Peter Walton, </w:t>
      </w:r>
      <w:r w:rsidRPr="000A2B77">
        <w:rPr>
          <w:i/>
        </w:rPr>
        <w:t>Insolvency Law: Corporate and Personal</w:t>
      </w:r>
      <w:r w:rsidRPr="000A2B77">
        <w:t xml:space="preserve"> (3</w:t>
      </w:r>
      <w:r w:rsidRPr="000A2B77">
        <w:rPr>
          <w:vertAlign w:val="superscript"/>
        </w:rPr>
        <w:t>rd</w:t>
      </w:r>
      <w:r w:rsidRPr="000A2B77">
        <w:t xml:space="preserve"> edn, Jordans 2012) 622.</w:t>
      </w:r>
    </w:p>
  </w:footnote>
  <w:footnote w:id="190">
    <w:p w:rsidR="00EB3ADB" w:rsidRPr="000A2B77" w:rsidRDefault="00EB3ADB" w:rsidP="004151B6">
      <w:pPr>
        <w:pStyle w:val="PhDFootnotes"/>
      </w:pPr>
      <w:r w:rsidRPr="000A2B77">
        <w:rPr>
          <w:rStyle w:val="FootnoteReference"/>
        </w:rPr>
        <w:footnoteRef/>
      </w:r>
      <w:r w:rsidRPr="000A2B77">
        <w:t xml:space="preserve"> </w:t>
      </w:r>
      <w:proofErr w:type="gramStart"/>
      <w:r w:rsidRPr="000A2B77">
        <w:t>ibid 619.</w:t>
      </w:r>
      <w:proofErr w:type="gramEnd"/>
    </w:p>
  </w:footnote>
  <w:footnote w:id="191">
    <w:p w:rsidR="00EB3ADB" w:rsidRPr="000A2B77" w:rsidRDefault="00EB3ADB" w:rsidP="004151B6">
      <w:pPr>
        <w:pStyle w:val="PhDFootnotes"/>
      </w:pPr>
      <w:r w:rsidRPr="000A2B77">
        <w:rPr>
          <w:rStyle w:val="FootnoteReference"/>
        </w:rPr>
        <w:footnoteRef/>
      </w:r>
      <w:r w:rsidRPr="000A2B77">
        <w:t xml:space="preserve"> IA 1986, ss 239(2)-(3) and 240(1</w:t>
      </w:r>
      <w:proofErr w:type="gramStart"/>
      <w:r w:rsidRPr="000A2B77">
        <w:t>)(</w:t>
      </w:r>
      <w:proofErr w:type="gramEnd"/>
      <w:r w:rsidRPr="000A2B77">
        <w:t>b).</w:t>
      </w:r>
    </w:p>
  </w:footnote>
  <w:footnote w:id="192">
    <w:p w:rsidR="00EB3ADB" w:rsidRPr="000A2B77" w:rsidRDefault="00EB3ADB" w:rsidP="004151B6">
      <w:pPr>
        <w:pStyle w:val="PhDFootnotes"/>
      </w:pPr>
      <w:r w:rsidRPr="000A2B77">
        <w:rPr>
          <w:rStyle w:val="FootnoteReference"/>
        </w:rPr>
        <w:footnoteRef/>
      </w:r>
      <w:r w:rsidRPr="000A2B77">
        <w:t xml:space="preserve"> ibid s 241(1</w:t>
      </w:r>
      <w:proofErr w:type="gramStart"/>
      <w:r w:rsidRPr="000A2B77">
        <w:t>)(</w:t>
      </w:r>
      <w:proofErr w:type="gramEnd"/>
      <w:r w:rsidRPr="000A2B77">
        <w:t>c).</w:t>
      </w:r>
    </w:p>
  </w:footnote>
  <w:footnote w:id="193">
    <w:p w:rsidR="00EB3ADB" w:rsidRPr="000A2B77" w:rsidRDefault="00EB3ADB" w:rsidP="004151B6">
      <w:pPr>
        <w:pStyle w:val="PhDFootnotes"/>
      </w:pPr>
      <w:r w:rsidRPr="000A2B77">
        <w:rPr>
          <w:rStyle w:val="FootnoteReference"/>
        </w:rPr>
        <w:footnoteRef/>
      </w:r>
      <w:r w:rsidRPr="000A2B77">
        <w:t xml:space="preserve"> ibid s 241(1</w:t>
      </w:r>
      <w:proofErr w:type="gramStart"/>
      <w:r w:rsidRPr="000A2B77">
        <w:t>)(</w:t>
      </w:r>
      <w:proofErr w:type="gramEnd"/>
      <w:r w:rsidRPr="000A2B77">
        <w:t>d).</w:t>
      </w:r>
    </w:p>
  </w:footnote>
  <w:footnote w:id="194">
    <w:p w:rsidR="00EB3ADB" w:rsidRPr="000A2B77" w:rsidRDefault="00EB3ADB" w:rsidP="00D45978">
      <w:pPr>
        <w:pStyle w:val="PhDFootnotes"/>
      </w:pPr>
      <w:r w:rsidRPr="000A2B77">
        <w:rPr>
          <w:rStyle w:val="FootnoteReference"/>
        </w:rPr>
        <w:footnoteRef/>
      </w:r>
      <w:r w:rsidRPr="000A2B77">
        <w:t xml:space="preserve"> </w:t>
      </w:r>
      <w:r w:rsidR="00E56C8D">
        <w:t>ibid</w:t>
      </w:r>
      <w:r w:rsidRPr="000A2B77">
        <w:t xml:space="preserve"> s 239(5).</w:t>
      </w:r>
    </w:p>
  </w:footnote>
  <w:footnote w:id="195">
    <w:p w:rsidR="00EB3ADB" w:rsidRPr="000A2B77" w:rsidRDefault="00EB3ADB" w:rsidP="00D45978">
      <w:pPr>
        <w:pStyle w:val="PhDFootnotes"/>
      </w:pPr>
      <w:r w:rsidRPr="000A2B77">
        <w:rPr>
          <w:rStyle w:val="FootnoteReference"/>
        </w:rPr>
        <w:footnoteRef/>
      </w:r>
      <w:r w:rsidRPr="000A2B77">
        <w:t xml:space="preserve"> </w:t>
      </w:r>
      <w:r w:rsidRPr="000A2B77">
        <w:rPr>
          <w:i/>
        </w:rPr>
        <w:t>Re MC Bacon Ltd (No 1)</w:t>
      </w:r>
      <w:r w:rsidRPr="000A2B77">
        <w:t xml:space="preserve"> [1990] BCC 78 (Ch) 88 (Millett J).</w:t>
      </w:r>
    </w:p>
  </w:footnote>
  <w:footnote w:id="196">
    <w:p w:rsidR="00EB3ADB" w:rsidRPr="000A2B77" w:rsidRDefault="00EB3ADB" w:rsidP="004151B6">
      <w:pPr>
        <w:pStyle w:val="PhDFootnotes"/>
      </w:pPr>
      <w:r w:rsidRPr="000A2B77">
        <w:rPr>
          <w:rStyle w:val="FootnoteReference"/>
        </w:rPr>
        <w:footnoteRef/>
      </w:r>
      <w:r w:rsidRPr="000A2B77">
        <w:t xml:space="preserve"> </w:t>
      </w:r>
      <w:proofErr w:type="gramStart"/>
      <w:r w:rsidRPr="000A2B77">
        <w:t>ibid 87-88.</w:t>
      </w:r>
      <w:proofErr w:type="gramEnd"/>
    </w:p>
  </w:footnote>
  <w:footnote w:id="197">
    <w:p w:rsidR="00EB3ADB" w:rsidRPr="000A2B77" w:rsidRDefault="00EB3ADB" w:rsidP="00A34674">
      <w:pPr>
        <w:pStyle w:val="PhDFootnotes"/>
      </w:pPr>
      <w:r w:rsidRPr="000A2B77">
        <w:rPr>
          <w:rStyle w:val="FootnoteReference"/>
        </w:rPr>
        <w:footnoteRef/>
      </w:r>
      <w:r w:rsidRPr="000A2B77">
        <w:t xml:space="preserve"> </w:t>
      </w:r>
      <w:proofErr w:type="gramStart"/>
      <w:r w:rsidRPr="000A2B77">
        <w:t>ibid 87.</w:t>
      </w:r>
      <w:proofErr w:type="gramEnd"/>
    </w:p>
  </w:footnote>
  <w:footnote w:id="198">
    <w:p w:rsidR="00EB3ADB" w:rsidRPr="000A2B77" w:rsidRDefault="00EB3ADB" w:rsidP="00A34674">
      <w:pPr>
        <w:pStyle w:val="PhDFootnotes"/>
      </w:pPr>
      <w:r w:rsidRPr="000A2B77">
        <w:rPr>
          <w:rStyle w:val="FootnoteReference"/>
        </w:rPr>
        <w:footnoteRef/>
      </w:r>
      <w:r w:rsidRPr="000A2B77">
        <w:t xml:space="preserve"> </w:t>
      </w:r>
      <w:proofErr w:type="gramStart"/>
      <w:r w:rsidRPr="000A2B77">
        <w:t>ibid 88.</w:t>
      </w:r>
      <w:proofErr w:type="gramEnd"/>
    </w:p>
  </w:footnote>
  <w:footnote w:id="199">
    <w:p w:rsidR="00EB3ADB" w:rsidRPr="000A2B77" w:rsidRDefault="00EB3ADB" w:rsidP="00A34674">
      <w:pPr>
        <w:pStyle w:val="PhDFootnotes"/>
      </w:pPr>
      <w:r w:rsidRPr="000A2B77">
        <w:rPr>
          <w:rStyle w:val="FootnoteReference"/>
        </w:rPr>
        <w:footnoteRef/>
      </w:r>
      <w:r w:rsidRPr="000A2B77">
        <w:t xml:space="preserve"> </w:t>
      </w:r>
      <w:proofErr w:type="gramStart"/>
      <w:r w:rsidRPr="000A2B77">
        <w:t>Keay and Walton (n 189) 621.</w:t>
      </w:r>
      <w:proofErr w:type="gramEnd"/>
    </w:p>
  </w:footnote>
  <w:footnote w:id="200">
    <w:p w:rsidR="00EB3ADB" w:rsidRPr="000A2B77" w:rsidRDefault="00EB3ADB" w:rsidP="004151B6">
      <w:pPr>
        <w:pStyle w:val="PhDFootnotes"/>
      </w:pPr>
      <w:r w:rsidRPr="000A2B77">
        <w:rPr>
          <w:rStyle w:val="FootnoteReference"/>
        </w:rPr>
        <w:footnoteRef/>
      </w:r>
      <w:r w:rsidRPr="000A2B77">
        <w:t xml:space="preserve"> </w:t>
      </w:r>
      <w:proofErr w:type="gramStart"/>
      <w:r w:rsidRPr="000A2B77">
        <w:rPr>
          <w:i/>
        </w:rPr>
        <w:t>Bacon</w:t>
      </w:r>
      <w:r w:rsidRPr="000A2B77">
        <w:t xml:space="preserve"> (n 195) 88.</w:t>
      </w:r>
      <w:proofErr w:type="gramEnd"/>
    </w:p>
  </w:footnote>
  <w:footnote w:id="201">
    <w:p w:rsidR="00EB3ADB" w:rsidRPr="000A2B77" w:rsidRDefault="00EB3ADB" w:rsidP="00EB3ADB">
      <w:pPr>
        <w:pStyle w:val="PhDFootnotes"/>
      </w:pPr>
      <w:r w:rsidRPr="000A2B77">
        <w:rPr>
          <w:rStyle w:val="FootnoteReference"/>
        </w:rPr>
        <w:footnoteRef/>
      </w:r>
      <w:r w:rsidRPr="000A2B77">
        <w:t xml:space="preserve"> See section </w:t>
      </w:r>
      <w:proofErr w:type="gramStart"/>
      <w:r w:rsidRPr="000A2B77">
        <w:t>C2(</w:t>
      </w:r>
      <w:proofErr w:type="gramEnd"/>
      <w:r w:rsidRPr="000A2B77">
        <w:t>b).</w:t>
      </w:r>
    </w:p>
  </w:footnote>
  <w:footnote w:id="202">
    <w:p w:rsidR="00EB3ADB" w:rsidRPr="000A2B77" w:rsidRDefault="00EB3ADB" w:rsidP="00346681">
      <w:pPr>
        <w:pStyle w:val="PhDFootnotes"/>
      </w:pPr>
      <w:r w:rsidRPr="000A2B77">
        <w:rPr>
          <w:rStyle w:val="FootnoteReference"/>
        </w:rPr>
        <w:footnoteRef/>
      </w:r>
      <w:r w:rsidRPr="000A2B77">
        <w:t xml:space="preserve"> </w:t>
      </w:r>
      <w:proofErr w:type="gramStart"/>
      <w:r w:rsidRPr="000A2B77">
        <w:t>[1992] BCC 924 (Ch).</w:t>
      </w:r>
      <w:proofErr w:type="gramEnd"/>
    </w:p>
  </w:footnote>
  <w:footnote w:id="203">
    <w:p w:rsidR="00EB3ADB" w:rsidRPr="000A2B77" w:rsidRDefault="00EB3ADB" w:rsidP="00346681">
      <w:pPr>
        <w:pStyle w:val="PhDFootnotes"/>
      </w:pPr>
      <w:r w:rsidRPr="000A2B77">
        <w:rPr>
          <w:rStyle w:val="FootnoteReference"/>
        </w:rPr>
        <w:footnoteRef/>
      </w:r>
      <w:r w:rsidRPr="000A2B77">
        <w:t xml:space="preserve"> </w:t>
      </w:r>
      <w:proofErr w:type="gramStart"/>
      <w:r w:rsidRPr="000A2B77">
        <w:t>ibid</w:t>
      </w:r>
      <w:r w:rsidRPr="000A2B77">
        <w:rPr>
          <w:i/>
        </w:rPr>
        <w:t xml:space="preserve"> </w:t>
      </w:r>
      <w:r w:rsidRPr="000A2B77">
        <w:t>929 (Mummery J).</w:t>
      </w:r>
      <w:proofErr w:type="gramEnd"/>
    </w:p>
  </w:footnote>
  <w:footnote w:id="204">
    <w:p w:rsidR="00EB3ADB" w:rsidRPr="000A2B77" w:rsidRDefault="00EB3ADB" w:rsidP="00A34674">
      <w:pPr>
        <w:pStyle w:val="PhDFootnotes"/>
      </w:pPr>
      <w:r w:rsidRPr="000A2B77">
        <w:rPr>
          <w:rStyle w:val="FootnoteReference"/>
        </w:rPr>
        <w:footnoteRef/>
      </w:r>
      <w:r w:rsidRPr="000A2B77">
        <w:t xml:space="preserve"> </w:t>
      </w:r>
      <w:proofErr w:type="gramStart"/>
      <w:r w:rsidRPr="000A2B77">
        <w:rPr>
          <w:i/>
        </w:rPr>
        <w:t>Butcher v Stead</w:t>
      </w:r>
      <w:r w:rsidRPr="000A2B77">
        <w:t xml:space="preserve"> (1874-75) LR 7 HL 839, 846 (Lord Cairns).</w:t>
      </w:r>
      <w:proofErr w:type="gramEnd"/>
    </w:p>
  </w:footnote>
  <w:footnote w:id="205">
    <w:p w:rsidR="00EB3ADB" w:rsidRPr="000A2B77" w:rsidRDefault="00EB3ADB" w:rsidP="00A34674">
      <w:pPr>
        <w:pStyle w:val="PhDFootnotes"/>
      </w:pPr>
      <w:r w:rsidRPr="000A2B77">
        <w:rPr>
          <w:rStyle w:val="FootnoteReference"/>
        </w:rPr>
        <w:footnoteRef/>
      </w:r>
      <w:r w:rsidRPr="000A2B77">
        <w:t xml:space="preserve"> </w:t>
      </w:r>
      <w:r w:rsidRPr="000A2B77">
        <w:rPr>
          <w:i/>
        </w:rPr>
        <w:t>Bacon</w:t>
      </w:r>
      <w:r w:rsidRPr="000A2B77">
        <w:t xml:space="preserve"> (n 195) 89.</w:t>
      </w:r>
    </w:p>
  </w:footnote>
  <w:footnote w:id="206">
    <w:p w:rsidR="00EB3ADB" w:rsidRPr="000A2B77" w:rsidRDefault="00EB3ADB" w:rsidP="00A34674">
      <w:pPr>
        <w:pStyle w:val="PhDFootnotes"/>
      </w:pPr>
      <w:r w:rsidRPr="000A2B77">
        <w:rPr>
          <w:rStyle w:val="FootnoteReference"/>
        </w:rPr>
        <w:footnoteRef/>
      </w:r>
      <w:r w:rsidRPr="000A2B77">
        <w:t xml:space="preserve"> ibid.</w:t>
      </w:r>
    </w:p>
  </w:footnote>
  <w:footnote w:id="207">
    <w:p w:rsidR="00EB3ADB" w:rsidRPr="000A2B77" w:rsidRDefault="00EB3ADB" w:rsidP="004151B6">
      <w:pPr>
        <w:pStyle w:val="PhDFootnotes"/>
      </w:pPr>
      <w:r w:rsidRPr="000A2B77">
        <w:rPr>
          <w:rStyle w:val="FootnoteReference"/>
        </w:rPr>
        <w:footnoteRef/>
      </w:r>
      <w:r w:rsidRPr="000A2B77">
        <w:t xml:space="preserve"> Qou makes a similar point: Shirley Quo, ‘Insolvency law: a comparative analysis of the preference tests in the UK and Australia’ (2007) Co Law 355, 363.</w:t>
      </w:r>
    </w:p>
  </w:footnote>
  <w:footnote w:id="208">
    <w:p w:rsidR="00EB3ADB" w:rsidRPr="000A2B77" w:rsidRDefault="00EB3ADB" w:rsidP="004151B6">
      <w:pPr>
        <w:pStyle w:val="PhDFootnotes"/>
      </w:pPr>
      <w:r w:rsidRPr="000A2B77">
        <w:rPr>
          <w:rStyle w:val="FootnoteReference"/>
        </w:rPr>
        <w:footnoteRef/>
      </w:r>
      <w:r w:rsidRPr="000A2B77">
        <w:t xml:space="preserve"> </w:t>
      </w:r>
      <w:proofErr w:type="gramStart"/>
      <w:r w:rsidRPr="000A2B77">
        <w:rPr>
          <w:i/>
        </w:rPr>
        <w:t>Rooney v Das</w:t>
      </w:r>
      <w:r w:rsidRPr="000A2B77">
        <w:t xml:space="preserve"> [1999] BPIR 404 (Ch).</w:t>
      </w:r>
      <w:proofErr w:type="gramEnd"/>
    </w:p>
  </w:footnote>
  <w:footnote w:id="209">
    <w:p w:rsidR="00EB3ADB" w:rsidRPr="000A2B77" w:rsidRDefault="00EB3ADB" w:rsidP="004151B6">
      <w:pPr>
        <w:pStyle w:val="PhDFootnotes"/>
      </w:pPr>
      <w:r w:rsidRPr="000A2B77">
        <w:rPr>
          <w:rStyle w:val="FootnoteReference"/>
        </w:rPr>
        <w:footnoteRef/>
      </w:r>
      <w:r w:rsidRPr="000A2B77">
        <w:t xml:space="preserve"> </w:t>
      </w:r>
      <w:proofErr w:type="gramStart"/>
      <w:r w:rsidRPr="000A2B77">
        <w:t>Keay and Walton (n 189) 629.</w:t>
      </w:r>
      <w:proofErr w:type="gramEnd"/>
    </w:p>
  </w:footnote>
  <w:footnote w:id="210">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See, e.g., GAO, </w:t>
      </w:r>
      <w:r w:rsidRPr="000A2B77">
        <w:rPr>
          <w:rFonts w:cs="Arial"/>
          <w:i/>
          <w:szCs w:val="16"/>
        </w:rPr>
        <w:t>Phosphate Mining: Oversight has Strengthened, but Financial Assurances and Coordination Still Need Improvement</w:t>
      </w:r>
      <w:r w:rsidRPr="000A2B77">
        <w:rPr>
          <w:rFonts w:cs="Arial"/>
          <w:szCs w:val="16"/>
        </w:rPr>
        <w:t xml:space="preserve"> (GAO-12-506, May 2012), 44 (EPA Region 10 noted that the form of a financial assurance is as important as the amount and stated that it did not believe a corporate guarantee to be a secure mechanism should a company go bankrupt or have financial difficulties)</w:t>
      </w:r>
    </w:p>
    <w:p w:rsidR="00EB3ADB" w:rsidRPr="000A2B77" w:rsidRDefault="00EB3ADB" w:rsidP="004151B6">
      <w:pPr>
        <w:pStyle w:val="PhDFootnotes"/>
        <w:rPr>
          <w:rFonts w:cs="Arial"/>
          <w:szCs w:val="16"/>
        </w:rPr>
      </w:pPr>
      <w:r w:rsidRPr="000A2B77">
        <w:rPr>
          <w:rFonts w:cs="Arial"/>
          <w:szCs w:val="16"/>
        </w:rPr>
        <w:t>&lt;</w:t>
      </w:r>
      <w:hyperlink r:id="rId19" w:history="1">
        <w:r w:rsidRPr="000A2B77">
          <w:rPr>
            <w:rStyle w:val="Hyperlink"/>
            <w:rFonts w:cs="Arial"/>
            <w:szCs w:val="16"/>
          </w:rPr>
          <w:t>http://www.gao.gov/assets/600/590642.pdf</w:t>
        </w:r>
      </w:hyperlink>
      <w:r w:rsidRPr="000A2B77">
        <w:rPr>
          <w:rFonts w:cs="Arial"/>
          <w:szCs w:val="16"/>
        </w:rPr>
        <w:t xml:space="preserve">&gt; accessed 23 March 2016. </w:t>
      </w:r>
    </w:p>
  </w:footnote>
  <w:footnote w:id="211">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Meredith Sassoon, World Bank Group, Oil, Gas and Mining Policy Division, ‘Guidance Notes for the Implementation of Financial Surety for Mine Closure’ (2008), 7 para 2.5; see also Scottish Government, ‘Consultation on Opencast Coal Restoration and Effective Regulation’ (2013), para 10.6 (parent company guarantees ‘...are not favoured by planning authorities [for coal mining] because of recurrent problems related to difficulties with corporate structure or collapse’).</w:t>
      </w:r>
    </w:p>
  </w:footnote>
  <w:footnote w:id="212">
    <w:p w:rsidR="00EB3ADB" w:rsidRPr="000A2B77" w:rsidRDefault="00EB3ADB" w:rsidP="004151B6">
      <w:pPr>
        <w:pStyle w:val="PhDFootnotes"/>
        <w:rPr>
          <w:rFonts w:cs="Arial"/>
          <w:szCs w:val="16"/>
        </w:rPr>
      </w:pPr>
      <w:r w:rsidRPr="000A2B77">
        <w:rPr>
          <w:rStyle w:val="FootnoteReference"/>
          <w:rFonts w:cs="Arial"/>
          <w:szCs w:val="16"/>
        </w:rPr>
        <w:footnoteRef/>
      </w:r>
      <w:r w:rsidR="003D3489">
        <w:rPr>
          <w:rFonts w:cs="Arial"/>
          <w:szCs w:val="16"/>
        </w:rPr>
        <w:t xml:space="preserve"> See HC Debate </w:t>
      </w:r>
      <w:r w:rsidR="003D3489" w:rsidRPr="000A2B77">
        <w:rPr>
          <w:rFonts w:cs="Arial"/>
          <w:szCs w:val="16"/>
        </w:rPr>
        <w:t>29 January 2015</w:t>
      </w:r>
      <w:r w:rsidRPr="000A2B77">
        <w:rPr>
          <w:rFonts w:cs="Arial"/>
          <w:szCs w:val="16"/>
        </w:rPr>
        <w:t xml:space="preserve">, </w:t>
      </w:r>
      <w:r w:rsidR="003D3489">
        <w:rPr>
          <w:rFonts w:cs="Arial"/>
          <w:szCs w:val="16"/>
        </w:rPr>
        <w:t xml:space="preserve">vol 591, col 1103 </w:t>
      </w:r>
      <w:r w:rsidRPr="000A2B77">
        <w:rPr>
          <w:rFonts w:cs="Arial"/>
          <w:szCs w:val="16"/>
        </w:rPr>
        <w:t>(local authority that required a bond and escrow account for Dynant Fawr coal site was not alerted by bank that payments into escrow account were not being made).</w:t>
      </w:r>
    </w:p>
  </w:footnote>
  <w:footnote w:id="213">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See MonTec, ‘Guidelines on Financial Guarantees and Inspections for Mining Waste Facilities’ (2007/S 49-059670, 30 April 2008), 21 [3.2].</w:t>
      </w:r>
    </w:p>
  </w:footnote>
  <w:footnote w:id="214">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See </w:t>
      </w:r>
      <w:r w:rsidRPr="000A2B77">
        <w:rPr>
          <w:rFonts w:cs="Arial"/>
          <w:i/>
          <w:szCs w:val="16"/>
        </w:rPr>
        <w:t xml:space="preserve">South Lanarkshire Council v Coface SA </w:t>
      </w:r>
      <w:r w:rsidRPr="000A2B77">
        <w:rPr>
          <w:rFonts w:cs="Arial"/>
          <w:szCs w:val="16"/>
        </w:rPr>
        <w:t>[2015] CSOH 8 [20-21] (bond for restoration works for opencast coal mine); see also East Ayrshire Council Cabinet, ‘Opencast Mining in East Ayrshire: Update, Report by Chief Executive’ (24 May 2013), para 41 (some ‘...bonds require the Council to carry out the restoration works and then recover the sums from the Bond provider as the works are completed. It is a matter of legal uncertainty whether the Bond providers will pay out on Bonds if the restoration is not what has been agreed in the restoration scheme’).</w:t>
      </w:r>
    </w:p>
  </w:footnote>
  <w:footnote w:id="215">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w:t>
      </w:r>
      <w:proofErr w:type="gramStart"/>
      <w:r w:rsidRPr="000A2B77">
        <w:rPr>
          <w:rFonts w:cs="Arial"/>
          <w:szCs w:val="16"/>
        </w:rPr>
        <w:t>Faure and Grimeaud (n 8).</w:t>
      </w:r>
      <w:proofErr w:type="gramEnd"/>
    </w:p>
  </w:footnote>
  <w:footnote w:id="216">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Robert Constanza and Laura Cornwell, ‘The 4P Approach to Dealing with Scientific Uncertainty’ (1992) 34 Environment 9 12, 16-17.</w:t>
      </w:r>
    </w:p>
  </w:footnote>
  <w:footnote w:id="217">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Canadian National Energy Board (CNEB), </w:t>
      </w:r>
      <w:r w:rsidRPr="000A2B77">
        <w:rPr>
          <w:rFonts w:cs="Arial"/>
          <w:i/>
          <w:szCs w:val="16"/>
        </w:rPr>
        <w:t xml:space="preserve">Guidelines Respecting Financial Requirements </w:t>
      </w:r>
      <w:r w:rsidR="004B6A90" w:rsidRPr="004B6A90">
        <w:rPr>
          <w:rFonts w:cs="Arial"/>
          <w:szCs w:val="16"/>
        </w:rPr>
        <w:t xml:space="preserve">(February 2016) </w:t>
      </w:r>
      <w:r w:rsidRPr="004B6A90">
        <w:rPr>
          <w:rFonts w:cs="Arial"/>
          <w:szCs w:val="16"/>
        </w:rPr>
        <w:t xml:space="preserve">s </w:t>
      </w:r>
      <w:r w:rsidRPr="000A2B77">
        <w:rPr>
          <w:rFonts w:cs="Arial"/>
          <w:szCs w:val="16"/>
        </w:rPr>
        <w:t>4.1 (describing irrevocable, non-transferable and non-assignable letter of credit from a Canadian chartered bank as proof of financial responsibility that are readily available to regulators)</w:t>
      </w:r>
    </w:p>
    <w:p w:rsidR="00EB3ADB" w:rsidRPr="000A2B77" w:rsidRDefault="00EB3ADB" w:rsidP="004151B6">
      <w:pPr>
        <w:pStyle w:val="PhDFootnotes"/>
        <w:rPr>
          <w:rFonts w:cs="Arial"/>
          <w:szCs w:val="16"/>
        </w:rPr>
      </w:pPr>
      <w:r w:rsidRPr="000A2B77">
        <w:rPr>
          <w:rFonts w:cs="Arial"/>
          <w:szCs w:val="16"/>
        </w:rPr>
        <w:t>&lt;</w:t>
      </w:r>
      <w:hyperlink r:id="rId20" w:anchor="s4_1" w:history="1">
        <w:r w:rsidRPr="000A2B77">
          <w:rPr>
            <w:rStyle w:val="Hyperlink"/>
            <w:rFonts w:cs="Arial"/>
            <w:szCs w:val="16"/>
          </w:rPr>
          <w:t>https://www.neb-one.gc.ca/bts/ctrg/gnthr/cndlgsprtnct/2016fnnclrqrmntgd/index-eng.html#s4_1</w:t>
        </w:r>
      </w:hyperlink>
      <w:r w:rsidRPr="000A2B77">
        <w:rPr>
          <w:rFonts w:cs="Arial"/>
          <w:szCs w:val="16"/>
        </w:rPr>
        <w:t>&gt; accessed 23 March 2016.</w:t>
      </w:r>
    </w:p>
  </w:footnote>
  <w:footnote w:id="218">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Note, ‘Should Shareholders be Personally Liable for the Torts of Their Corporations’ (1967) 76 Yale LJ 1190, 1203; </w:t>
      </w:r>
      <w:r w:rsidRPr="000A2B77">
        <w:rPr>
          <w:szCs w:val="16"/>
        </w:rPr>
        <w:t>Boyd, ‘Financial Responsibility’ (n 6)</w:t>
      </w:r>
      <w:r w:rsidRPr="000A2B77">
        <w:rPr>
          <w:rFonts w:cs="Arial"/>
          <w:szCs w:val="16"/>
        </w:rPr>
        <w:t xml:space="preserve"> 63.</w:t>
      </w:r>
    </w:p>
  </w:footnote>
  <w:footnote w:id="219">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40 CFR s 264.143(f</w:t>
      </w:r>
      <w:proofErr w:type="gramStart"/>
      <w:r w:rsidRPr="000A2B77">
        <w:rPr>
          <w:rFonts w:cs="Arial"/>
          <w:szCs w:val="16"/>
        </w:rPr>
        <w:t>)(</w:t>
      </w:r>
      <w:proofErr w:type="gramEnd"/>
      <w:r w:rsidRPr="000A2B77">
        <w:rPr>
          <w:rFonts w:cs="Arial"/>
          <w:szCs w:val="16"/>
        </w:rPr>
        <w:t>3).</w:t>
      </w:r>
    </w:p>
  </w:footnote>
  <w:footnote w:id="220">
    <w:p w:rsidR="00EB3ADB" w:rsidRPr="000A2B77"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w:t>
      </w:r>
      <w:proofErr w:type="gramStart"/>
      <w:r w:rsidRPr="000A2B77">
        <w:rPr>
          <w:rFonts w:cs="Arial"/>
          <w:szCs w:val="16"/>
        </w:rPr>
        <w:t>CNEB (n 217) s 5.1.</w:t>
      </w:r>
      <w:proofErr w:type="gramEnd"/>
    </w:p>
  </w:footnote>
  <w:footnote w:id="221">
    <w:p w:rsidR="00EB3ADB" w:rsidRPr="00416E3A" w:rsidRDefault="00EB3ADB" w:rsidP="004151B6">
      <w:pPr>
        <w:pStyle w:val="PhDFootnotes"/>
        <w:rPr>
          <w:rFonts w:cs="Arial"/>
          <w:szCs w:val="16"/>
        </w:rPr>
      </w:pPr>
      <w:r w:rsidRPr="000A2B77">
        <w:rPr>
          <w:rStyle w:val="FootnoteReference"/>
          <w:rFonts w:cs="Arial"/>
          <w:szCs w:val="16"/>
        </w:rPr>
        <w:footnoteRef/>
      </w:r>
      <w:r w:rsidRPr="000A2B77">
        <w:rPr>
          <w:rFonts w:cs="Arial"/>
          <w:szCs w:val="16"/>
        </w:rPr>
        <w:t xml:space="preserve"> Commission, ‘Proposal for a Directive of European Parliament and of the Council amending Directive 2006/43/EC on statutory audits of annual accounts and consolidated accounts’ COM (2011) 778 final (Directive 2014/56/EU amending Directive 2006/43/EC on statutory audits of annual accounts and consolidated accounts has been adopted by the EU); Commission, ‘Proposal for a Regulation of the European Parliament and of the Council on specific requirements regarding statutory audit of public-interest entities’ COM (2011) 779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Default="00EB3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Default="00EB3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Default="00EB3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E075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989E8564"/>
    <w:lvl w:ilvl="0">
      <w:start w:val="1"/>
      <w:numFmt w:val="decimal"/>
      <w:lvlText w:val="%1."/>
      <w:lvlJc w:val="left"/>
      <w:pPr>
        <w:ind w:left="851" w:hanging="709"/>
      </w:pPr>
      <w:rPr>
        <w:rFonts w:ascii="Arial" w:hAnsi="Arial"/>
        <w:sz w:val="24"/>
      </w:rPr>
    </w:lvl>
    <w:lvl w:ilvl="1">
      <w:start w:val="1"/>
      <w:numFmt w:val="decimal"/>
      <w:lvlText w:val="%1.%2."/>
      <w:lvlJc w:val="left"/>
      <w:pPr>
        <w:ind w:left="709" w:hanging="709"/>
      </w:pPr>
    </w:lvl>
    <w:lvl w:ilvl="2">
      <w:start w:val="1"/>
      <w:numFmt w:val="decimal"/>
      <w:lvlText w:val="%1.%2.%3."/>
      <w:lvlJc w:val="left"/>
      <w:pPr>
        <w:ind w:left="1474" w:hanging="765"/>
      </w:pPr>
    </w:lvl>
    <w:lvl w:ilvl="3">
      <w:start w:val="1"/>
      <w:numFmt w:val="decimal"/>
      <w:lvlText w:val="%1.%2.%3.%4."/>
      <w:lvlJc w:val="left"/>
      <w:pPr>
        <w:ind w:left="1474" w:hanging="765"/>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186736"/>
    <w:multiLevelType w:val="hybridMultilevel"/>
    <w:tmpl w:val="4216CB48"/>
    <w:lvl w:ilvl="0" w:tplc="F43A18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12EFD"/>
    <w:multiLevelType w:val="multilevel"/>
    <w:tmpl w:val="989E8564"/>
    <w:styleLink w:val="PhDHeadings"/>
    <w:lvl w:ilvl="0">
      <w:start w:val="1"/>
      <w:numFmt w:val="decimal"/>
      <w:pStyle w:val="Heading1"/>
      <w:lvlText w:val="%1."/>
      <w:lvlJc w:val="left"/>
      <w:pPr>
        <w:ind w:left="851" w:hanging="709"/>
      </w:pPr>
      <w:rPr>
        <w:rFonts w:ascii="Arial" w:hAnsi="Arial"/>
        <w:sz w:val="24"/>
      </w:rPr>
    </w:lvl>
    <w:lvl w:ilvl="1">
      <w:start w:val="1"/>
      <w:numFmt w:val="decimal"/>
      <w:lvlText w:val="%1.%2."/>
      <w:lvlJc w:val="left"/>
      <w:pPr>
        <w:ind w:left="709" w:hanging="709"/>
      </w:pPr>
      <w:rPr>
        <w:rFonts w:hint="default"/>
      </w:rPr>
    </w:lvl>
    <w:lvl w:ilvl="2">
      <w:start w:val="1"/>
      <w:numFmt w:val="decimal"/>
      <w:pStyle w:val="Heading3"/>
      <w:lvlText w:val="%1.%2.%3."/>
      <w:lvlJc w:val="left"/>
      <w:pPr>
        <w:ind w:left="1474" w:hanging="765"/>
      </w:pPr>
      <w:rPr>
        <w:rFonts w:hint="default"/>
      </w:rPr>
    </w:lvl>
    <w:lvl w:ilvl="3">
      <w:start w:val="1"/>
      <w:numFmt w:val="decimal"/>
      <w:lvlText w:val="%1.%2.%3.%4."/>
      <w:lvlJc w:val="left"/>
      <w:pPr>
        <w:ind w:left="1474" w:hanging="76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50522F"/>
    <w:multiLevelType w:val="multilevel"/>
    <w:tmpl w:val="FA88BC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9126FC4"/>
    <w:multiLevelType w:val="hybridMultilevel"/>
    <w:tmpl w:val="10304FDA"/>
    <w:lvl w:ilvl="0" w:tplc="BB589A9E">
      <w:start w:val="1"/>
      <w:numFmt w:val="decimal"/>
      <w:lvlText w:val="Chapter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7C3668"/>
    <w:multiLevelType w:val="hybridMultilevel"/>
    <w:tmpl w:val="FFEA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CF6B86"/>
    <w:multiLevelType w:val="hybridMultilevel"/>
    <w:tmpl w:val="9514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14046C"/>
    <w:multiLevelType w:val="hybridMultilevel"/>
    <w:tmpl w:val="5F325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8D01D9"/>
    <w:multiLevelType w:val="hybridMultilevel"/>
    <w:tmpl w:val="65F029D6"/>
    <w:lvl w:ilvl="0" w:tplc="5B08D5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4A1E57"/>
    <w:multiLevelType w:val="hybridMultilevel"/>
    <w:tmpl w:val="BC1E6C9A"/>
    <w:lvl w:ilvl="0" w:tplc="2DCEB0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lvlOverride w:ilvl="0">
      <w:lvl w:ilvl="0">
        <w:start w:val="1"/>
        <w:numFmt w:val="decimal"/>
        <w:pStyle w:val="Heading1"/>
        <w:lvlText w:val="%1."/>
        <w:lvlJc w:val="left"/>
        <w:pPr>
          <w:ind w:left="709" w:hanging="709"/>
        </w:pPr>
        <w:rPr>
          <w:rFonts w:ascii="Arial" w:hAnsi="Arial"/>
          <w:sz w:val="24"/>
        </w:rPr>
      </w:lvl>
    </w:lvlOverride>
    <w:lvlOverride w:ilvl="1">
      <w:lvl w:ilvl="1">
        <w:start w:val="1"/>
        <w:numFmt w:val="decimal"/>
        <w:lvlText w:val="%1.%2."/>
        <w:lvlJc w:val="left"/>
        <w:pPr>
          <w:ind w:left="709" w:hanging="709"/>
        </w:pPr>
        <w:rPr>
          <w:rFonts w:hint="default"/>
        </w:rPr>
      </w:lvl>
    </w:lvlOverride>
    <w:lvlOverride w:ilvl="2">
      <w:lvl w:ilvl="2">
        <w:start w:val="1"/>
        <w:numFmt w:val="decimal"/>
        <w:pStyle w:val="Heading3"/>
        <w:lvlText w:val="%1.%2.%3."/>
        <w:lvlJc w:val="left"/>
        <w:pPr>
          <w:ind w:left="1474" w:hanging="765"/>
        </w:pPr>
        <w:rPr>
          <w:rFonts w:hint="default"/>
        </w:rPr>
      </w:lvl>
    </w:lvlOverride>
    <w:lvlOverride w:ilvl="3">
      <w:lvl w:ilvl="3">
        <w:start w:val="1"/>
        <w:numFmt w:val="decimal"/>
        <w:lvlText w:val="%1.%2.%3.%4."/>
        <w:lvlJc w:val="left"/>
        <w:pPr>
          <w:ind w:left="1474" w:hanging="76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3"/>
    <w:lvlOverride w:ilvl="0">
      <w:lvl w:ilvl="0">
        <w:numFmt w:val="decimal"/>
        <w:pStyle w:val="Heading1"/>
        <w:lvlText w:val=""/>
        <w:lvlJc w:val="left"/>
      </w:lvl>
    </w:lvlOverride>
    <w:lvlOverride w:ilvl="1">
      <w:lvl w:ilvl="1">
        <w:start w:val="1"/>
        <w:numFmt w:val="decimal"/>
        <w:lvlText w:val="%1.%2."/>
        <w:lvlJc w:val="left"/>
        <w:pPr>
          <w:ind w:left="709" w:hanging="709"/>
        </w:pPr>
        <w:rPr>
          <w:rFonts w:hint="default"/>
        </w:rPr>
      </w:lvl>
    </w:lvlOverride>
    <w:lvlOverride w:ilvl="2">
      <w:lvl w:ilvl="2">
        <w:start w:val="1"/>
        <w:numFmt w:val="decimal"/>
        <w:pStyle w:val="Heading3"/>
        <w:lvlText w:val="%1.%2.%3."/>
        <w:lvlJc w:val="left"/>
        <w:pPr>
          <w:ind w:left="1474" w:hanging="765"/>
        </w:pPr>
        <w:rPr>
          <w:rFonts w:hint="default"/>
        </w:rPr>
      </w:lvl>
    </w:lvlOverride>
    <w:lvlOverride w:ilvl="3">
      <w:lvl w:ilvl="3">
        <w:start w:val="1"/>
        <w:numFmt w:val="decimal"/>
        <w:lvlText w:val="%1.%2.%3.%4."/>
        <w:lvlJc w:val="left"/>
        <w:pPr>
          <w:ind w:left="1474" w:hanging="765"/>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5"/>
  </w:num>
  <w:num w:numId="16">
    <w:abstractNumId w:val="8"/>
  </w:num>
  <w:num w:numId="17">
    <w:abstractNumId w:val="0"/>
  </w:num>
  <w:num w:numId="18">
    <w:abstractNumId w:val="6"/>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removePersonalInformation/>
  <w:proofState w:spelling="clean" w:grammar="clean"/>
  <w:defaultTabStop w:val="720"/>
  <w:characterSpacingControl w:val="doNotCompress"/>
  <w:hdrShapeDefaults>
    <o:shapedefaults v:ext="edit" spidmax="505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B"/>
    <w:rsid w:val="00000508"/>
    <w:rsid w:val="00000B7B"/>
    <w:rsid w:val="00000DCE"/>
    <w:rsid w:val="0000177B"/>
    <w:rsid w:val="000020ED"/>
    <w:rsid w:val="000023CD"/>
    <w:rsid w:val="00002F79"/>
    <w:rsid w:val="0000306B"/>
    <w:rsid w:val="00003D08"/>
    <w:rsid w:val="00004003"/>
    <w:rsid w:val="0000456B"/>
    <w:rsid w:val="000047D9"/>
    <w:rsid w:val="000055A8"/>
    <w:rsid w:val="0000564B"/>
    <w:rsid w:val="0000585E"/>
    <w:rsid w:val="00005B9E"/>
    <w:rsid w:val="0000607A"/>
    <w:rsid w:val="0001038F"/>
    <w:rsid w:val="000103EB"/>
    <w:rsid w:val="00010576"/>
    <w:rsid w:val="00010876"/>
    <w:rsid w:val="00010C72"/>
    <w:rsid w:val="00011AE6"/>
    <w:rsid w:val="00011EE6"/>
    <w:rsid w:val="0001321E"/>
    <w:rsid w:val="00013815"/>
    <w:rsid w:val="00013A23"/>
    <w:rsid w:val="00013E07"/>
    <w:rsid w:val="00015087"/>
    <w:rsid w:val="00016868"/>
    <w:rsid w:val="0001784B"/>
    <w:rsid w:val="0002058A"/>
    <w:rsid w:val="00020FE5"/>
    <w:rsid w:val="000210FC"/>
    <w:rsid w:val="000218FA"/>
    <w:rsid w:val="000225DA"/>
    <w:rsid w:val="0002266B"/>
    <w:rsid w:val="00022FF2"/>
    <w:rsid w:val="00023786"/>
    <w:rsid w:val="000237BE"/>
    <w:rsid w:val="00023AA1"/>
    <w:rsid w:val="00023B9C"/>
    <w:rsid w:val="000242F6"/>
    <w:rsid w:val="00024A5B"/>
    <w:rsid w:val="00024FF1"/>
    <w:rsid w:val="000253AD"/>
    <w:rsid w:val="000253C9"/>
    <w:rsid w:val="000256A8"/>
    <w:rsid w:val="00025FC8"/>
    <w:rsid w:val="00027241"/>
    <w:rsid w:val="0002756E"/>
    <w:rsid w:val="0002775E"/>
    <w:rsid w:val="000303C9"/>
    <w:rsid w:val="00030530"/>
    <w:rsid w:val="00030C4D"/>
    <w:rsid w:val="00031314"/>
    <w:rsid w:val="00032046"/>
    <w:rsid w:val="0003221C"/>
    <w:rsid w:val="000325CD"/>
    <w:rsid w:val="00032C95"/>
    <w:rsid w:val="00034C5B"/>
    <w:rsid w:val="000358AA"/>
    <w:rsid w:val="0003687D"/>
    <w:rsid w:val="00037AA3"/>
    <w:rsid w:val="000406C8"/>
    <w:rsid w:val="0004151D"/>
    <w:rsid w:val="0004176D"/>
    <w:rsid w:val="0004215B"/>
    <w:rsid w:val="000421C5"/>
    <w:rsid w:val="000434DC"/>
    <w:rsid w:val="000449AB"/>
    <w:rsid w:val="0004509E"/>
    <w:rsid w:val="000450E0"/>
    <w:rsid w:val="000453D0"/>
    <w:rsid w:val="00046AAC"/>
    <w:rsid w:val="00046B6D"/>
    <w:rsid w:val="0004713A"/>
    <w:rsid w:val="00047BE0"/>
    <w:rsid w:val="00051917"/>
    <w:rsid w:val="00052EE9"/>
    <w:rsid w:val="00053274"/>
    <w:rsid w:val="000548DD"/>
    <w:rsid w:val="00055408"/>
    <w:rsid w:val="0005622A"/>
    <w:rsid w:val="00057736"/>
    <w:rsid w:val="00060163"/>
    <w:rsid w:val="00061AFC"/>
    <w:rsid w:val="00061CCF"/>
    <w:rsid w:val="00061F83"/>
    <w:rsid w:val="000624B3"/>
    <w:rsid w:val="00062ACD"/>
    <w:rsid w:val="00062BFE"/>
    <w:rsid w:val="00063939"/>
    <w:rsid w:val="0006410E"/>
    <w:rsid w:val="0006439C"/>
    <w:rsid w:val="000643E2"/>
    <w:rsid w:val="00064797"/>
    <w:rsid w:val="000657CB"/>
    <w:rsid w:val="0006679D"/>
    <w:rsid w:val="00067658"/>
    <w:rsid w:val="00067729"/>
    <w:rsid w:val="000702D7"/>
    <w:rsid w:val="0007031E"/>
    <w:rsid w:val="0007087D"/>
    <w:rsid w:val="00070B66"/>
    <w:rsid w:val="0007201C"/>
    <w:rsid w:val="00072035"/>
    <w:rsid w:val="000720C7"/>
    <w:rsid w:val="00072144"/>
    <w:rsid w:val="00072338"/>
    <w:rsid w:val="000731A3"/>
    <w:rsid w:val="0007330C"/>
    <w:rsid w:val="00073492"/>
    <w:rsid w:val="000734A8"/>
    <w:rsid w:val="0007363F"/>
    <w:rsid w:val="00074362"/>
    <w:rsid w:val="0007457B"/>
    <w:rsid w:val="00075432"/>
    <w:rsid w:val="00076E05"/>
    <w:rsid w:val="00076E8A"/>
    <w:rsid w:val="000779FF"/>
    <w:rsid w:val="00077B18"/>
    <w:rsid w:val="00080B98"/>
    <w:rsid w:val="00081862"/>
    <w:rsid w:val="00081B3C"/>
    <w:rsid w:val="00082870"/>
    <w:rsid w:val="0008324F"/>
    <w:rsid w:val="0008400C"/>
    <w:rsid w:val="00085088"/>
    <w:rsid w:val="00086189"/>
    <w:rsid w:val="0008629F"/>
    <w:rsid w:val="00086316"/>
    <w:rsid w:val="0008683A"/>
    <w:rsid w:val="00086E52"/>
    <w:rsid w:val="00087014"/>
    <w:rsid w:val="00087257"/>
    <w:rsid w:val="000873D6"/>
    <w:rsid w:val="000878F5"/>
    <w:rsid w:val="000904E9"/>
    <w:rsid w:val="00090B5E"/>
    <w:rsid w:val="00090DBC"/>
    <w:rsid w:val="00091421"/>
    <w:rsid w:val="000915B6"/>
    <w:rsid w:val="00091711"/>
    <w:rsid w:val="0009181D"/>
    <w:rsid w:val="00092140"/>
    <w:rsid w:val="000923B1"/>
    <w:rsid w:val="0009250B"/>
    <w:rsid w:val="00092782"/>
    <w:rsid w:val="0009316C"/>
    <w:rsid w:val="00093490"/>
    <w:rsid w:val="00093676"/>
    <w:rsid w:val="00093826"/>
    <w:rsid w:val="00093B01"/>
    <w:rsid w:val="00095B04"/>
    <w:rsid w:val="00095BE2"/>
    <w:rsid w:val="000967B9"/>
    <w:rsid w:val="00096801"/>
    <w:rsid w:val="00096F09"/>
    <w:rsid w:val="00097D2F"/>
    <w:rsid w:val="000A0C36"/>
    <w:rsid w:val="000A1550"/>
    <w:rsid w:val="000A1F7B"/>
    <w:rsid w:val="000A2B77"/>
    <w:rsid w:val="000A3190"/>
    <w:rsid w:val="000A382C"/>
    <w:rsid w:val="000A3849"/>
    <w:rsid w:val="000A4C1A"/>
    <w:rsid w:val="000A4ED9"/>
    <w:rsid w:val="000A4F95"/>
    <w:rsid w:val="000A5919"/>
    <w:rsid w:val="000A5F82"/>
    <w:rsid w:val="000A6114"/>
    <w:rsid w:val="000A7D90"/>
    <w:rsid w:val="000B03F7"/>
    <w:rsid w:val="000B0B0F"/>
    <w:rsid w:val="000B0B1C"/>
    <w:rsid w:val="000B16A8"/>
    <w:rsid w:val="000B1AD7"/>
    <w:rsid w:val="000B1FA3"/>
    <w:rsid w:val="000B3B19"/>
    <w:rsid w:val="000B4041"/>
    <w:rsid w:val="000B6658"/>
    <w:rsid w:val="000B67F1"/>
    <w:rsid w:val="000B67F4"/>
    <w:rsid w:val="000B6A75"/>
    <w:rsid w:val="000B78E8"/>
    <w:rsid w:val="000C082C"/>
    <w:rsid w:val="000C1573"/>
    <w:rsid w:val="000C21A5"/>
    <w:rsid w:val="000C2590"/>
    <w:rsid w:val="000C2E9A"/>
    <w:rsid w:val="000C36FF"/>
    <w:rsid w:val="000C403B"/>
    <w:rsid w:val="000C4127"/>
    <w:rsid w:val="000C4250"/>
    <w:rsid w:val="000C458E"/>
    <w:rsid w:val="000C4AAA"/>
    <w:rsid w:val="000C53B2"/>
    <w:rsid w:val="000C6188"/>
    <w:rsid w:val="000C7E67"/>
    <w:rsid w:val="000D0553"/>
    <w:rsid w:val="000D0C9B"/>
    <w:rsid w:val="000D158E"/>
    <w:rsid w:val="000D17F9"/>
    <w:rsid w:val="000D22E3"/>
    <w:rsid w:val="000D2AD7"/>
    <w:rsid w:val="000D3727"/>
    <w:rsid w:val="000D3A9F"/>
    <w:rsid w:val="000D3E15"/>
    <w:rsid w:val="000D40B5"/>
    <w:rsid w:val="000D44A2"/>
    <w:rsid w:val="000D4E84"/>
    <w:rsid w:val="000D565E"/>
    <w:rsid w:val="000D57F7"/>
    <w:rsid w:val="000D62DC"/>
    <w:rsid w:val="000D66AB"/>
    <w:rsid w:val="000D6D81"/>
    <w:rsid w:val="000E0B22"/>
    <w:rsid w:val="000E0B3C"/>
    <w:rsid w:val="000E0C64"/>
    <w:rsid w:val="000E1670"/>
    <w:rsid w:val="000E1D09"/>
    <w:rsid w:val="000E1E9E"/>
    <w:rsid w:val="000E253C"/>
    <w:rsid w:val="000E268C"/>
    <w:rsid w:val="000E2AD1"/>
    <w:rsid w:val="000E2B73"/>
    <w:rsid w:val="000E2DA7"/>
    <w:rsid w:val="000E3C23"/>
    <w:rsid w:val="000E3C46"/>
    <w:rsid w:val="000E4D31"/>
    <w:rsid w:val="000E53C9"/>
    <w:rsid w:val="000E56B7"/>
    <w:rsid w:val="000E5844"/>
    <w:rsid w:val="000E6A02"/>
    <w:rsid w:val="000E7897"/>
    <w:rsid w:val="000E7AE0"/>
    <w:rsid w:val="000F1615"/>
    <w:rsid w:val="000F168E"/>
    <w:rsid w:val="000F1D6A"/>
    <w:rsid w:val="000F29DE"/>
    <w:rsid w:val="000F2E97"/>
    <w:rsid w:val="000F2EA9"/>
    <w:rsid w:val="000F317D"/>
    <w:rsid w:val="000F3324"/>
    <w:rsid w:val="000F3FB3"/>
    <w:rsid w:val="000F437A"/>
    <w:rsid w:val="000F43E4"/>
    <w:rsid w:val="000F4E6F"/>
    <w:rsid w:val="000F5309"/>
    <w:rsid w:val="000F6187"/>
    <w:rsid w:val="000F6987"/>
    <w:rsid w:val="000F6A94"/>
    <w:rsid w:val="000F6B8B"/>
    <w:rsid w:val="000F6CB0"/>
    <w:rsid w:val="000F7D8D"/>
    <w:rsid w:val="00100040"/>
    <w:rsid w:val="00100378"/>
    <w:rsid w:val="00100F75"/>
    <w:rsid w:val="00100FA5"/>
    <w:rsid w:val="0010157F"/>
    <w:rsid w:val="00101BD5"/>
    <w:rsid w:val="00101E3C"/>
    <w:rsid w:val="00102FE5"/>
    <w:rsid w:val="00105F5B"/>
    <w:rsid w:val="00106859"/>
    <w:rsid w:val="001071CF"/>
    <w:rsid w:val="0011179A"/>
    <w:rsid w:val="00111CB9"/>
    <w:rsid w:val="00111F3E"/>
    <w:rsid w:val="00112A75"/>
    <w:rsid w:val="00113A0B"/>
    <w:rsid w:val="0011423C"/>
    <w:rsid w:val="00114436"/>
    <w:rsid w:val="00114C83"/>
    <w:rsid w:val="00114D5E"/>
    <w:rsid w:val="0011625A"/>
    <w:rsid w:val="0011658B"/>
    <w:rsid w:val="00116758"/>
    <w:rsid w:val="00116CEF"/>
    <w:rsid w:val="00117027"/>
    <w:rsid w:val="00117648"/>
    <w:rsid w:val="00117FCB"/>
    <w:rsid w:val="001209BD"/>
    <w:rsid w:val="00121253"/>
    <w:rsid w:val="001215D0"/>
    <w:rsid w:val="0012240D"/>
    <w:rsid w:val="00124953"/>
    <w:rsid w:val="00125241"/>
    <w:rsid w:val="0012550D"/>
    <w:rsid w:val="00125C5F"/>
    <w:rsid w:val="001268D9"/>
    <w:rsid w:val="0012769D"/>
    <w:rsid w:val="00127D85"/>
    <w:rsid w:val="00130AE9"/>
    <w:rsid w:val="00131756"/>
    <w:rsid w:val="00131B1E"/>
    <w:rsid w:val="00131F5F"/>
    <w:rsid w:val="001323AA"/>
    <w:rsid w:val="001332EF"/>
    <w:rsid w:val="001334A1"/>
    <w:rsid w:val="001346B0"/>
    <w:rsid w:val="00134E91"/>
    <w:rsid w:val="0013567D"/>
    <w:rsid w:val="00136364"/>
    <w:rsid w:val="00136526"/>
    <w:rsid w:val="001366AF"/>
    <w:rsid w:val="00140321"/>
    <w:rsid w:val="001407F8"/>
    <w:rsid w:val="00140A97"/>
    <w:rsid w:val="00140C33"/>
    <w:rsid w:val="00140CD9"/>
    <w:rsid w:val="00140F5E"/>
    <w:rsid w:val="00140F6A"/>
    <w:rsid w:val="00141C62"/>
    <w:rsid w:val="00141DC4"/>
    <w:rsid w:val="00142C5D"/>
    <w:rsid w:val="00143C7D"/>
    <w:rsid w:val="00143DFC"/>
    <w:rsid w:val="00143FF8"/>
    <w:rsid w:val="00144D9D"/>
    <w:rsid w:val="00145056"/>
    <w:rsid w:val="0014556D"/>
    <w:rsid w:val="00145A68"/>
    <w:rsid w:val="001463EA"/>
    <w:rsid w:val="00146610"/>
    <w:rsid w:val="001475A2"/>
    <w:rsid w:val="00150F4B"/>
    <w:rsid w:val="001511FB"/>
    <w:rsid w:val="001519CD"/>
    <w:rsid w:val="00151B34"/>
    <w:rsid w:val="00152157"/>
    <w:rsid w:val="001535D3"/>
    <w:rsid w:val="001535DD"/>
    <w:rsid w:val="001538F5"/>
    <w:rsid w:val="00153B4A"/>
    <w:rsid w:val="00153C06"/>
    <w:rsid w:val="00154A87"/>
    <w:rsid w:val="0015604B"/>
    <w:rsid w:val="00156328"/>
    <w:rsid w:val="00160CB7"/>
    <w:rsid w:val="00161840"/>
    <w:rsid w:val="00162EB0"/>
    <w:rsid w:val="001633CD"/>
    <w:rsid w:val="001637A5"/>
    <w:rsid w:val="00163ECA"/>
    <w:rsid w:val="00164090"/>
    <w:rsid w:val="0016436B"/>
    <w:rsid w:val="00164CB5"/>
    <w:rsid w:val="001650E9"/>
    <w:rsid w:val="001659D5"/>
    <w:rsid w:val="00165A23"/>
    <w:rsid w:val="0016697D"/>
    <w:rsid w:val="00167A84"/>
    <w:rsid w:val="00170CCC"/>
    <w:rsid w:val="00170CD7"/>
    <w:rsid w:val="00171F62"/>
    <w:rsid w:val="001726F9"/>
    <w:rsid w:val="001733AE"/>
    <w:rsid w:val="00173BC2"/>
    <w:rsid w:val="00174425"/>
    <w:rsid w:val="00174B61"/>
    <w:rsid w:val="0017568B"/>
    <w:rsid w:val="00175FF8"/>
    <w:rsid w:val="0017640D"/>
    <w:rsid w:val="00177025"/>
    <w:rsid w:val="00177838"/>
    <w:rsid w:val="00177F84"/>
    <w:rsid w:val="0018114D"/>
    <w:rsid w:val="0018130D"/>
    <w:rsid w:val="001822BB"/>
    <w:rsid w:val="00183ED5"/>
    <w:rsid w:val="00184A68"/>
    <w:rsid w:val="00184C8F"/>
    <w:rsid w:val="00185681"/>
    <w:rsid w:val="00186380"/>
    <w:rsid w:val="0018689A"/>
    <w:rsid w:val="00187472"/>
    <w:rsid w:val="001876BD"/>
    <w:rsid w:val="001908BD"/>
    <w:rsid w:val="0019111B"/>
    <w:rsid w:val="00191C87"/>
    <w:rsid w:val="001925FE"/>
    <w:rsid w:val="0019283C"/>
    <w:rsid w:val="00192D3C"/>
    <w:rsid w:val="00193046"/>
    <w:rsid w:val="00193D92"/>
    <w:rsid w:val="001950BE"/>
    <w:rsid w:val="00195341"/>
    <w:rsid w:val="00195493"/>
    <w:rsid w:val="0019562B"/>
    <w:rsid w:val="00195BF1"/>
    <w:rsid w:val="00195CBB"/>
    <w:rsid w:val="00196076"/>
    <w:rsid w:val="001961E4"/>
    <w:rsid w:val="00196A94"/>
    <w:rsid w:val="001A0118"/>
    <w:rsid w:val="001A0F18"/>
    <w:rsid w:val="001A12F0"/>
    <w:rsid w:val="001A156C"/>
    <w:rsid w:val="001A1F38"/>
    <w:rsid w:val="001A2B5C"/>
    <w:rsid w:val="001A537A"/>
    <w:rsid w:val="001A680A"/>
    <w:rsid w:val="001A712A"/>
    <w:rsid w:val="001A7183"/>
    <w:rsid w:val="001B0E00"/>
    <w:rsid w:val="001B12EF"/>
    <w:rsid w:val="001B1592"/>
    <w:rsid w:val="001B1848"/>
    <w:rsid w:val="001B1E53"/>
    <w:rsid w:val="001B2512"/>
    <w:rsid w:val="001B2DBF"/>
    <w:rsid w:val="001B3058"/>
    <w:rsid w:val="001B494F"/>
    <w:rsid w:val="001B52E3"/>
    <w:rsid w:val="001B5FE8"/>
    <w:rsid w:val="001B60DE"/>
    <w:rsid w:val="001B6E47"/>
    <w:rsid w:val="001C0152"/>
    <w:rsid w:val="001C0D45"/>
    <w:rsid w:val="001C0EA7"/>
    <w:rsid w:val="001C1779"/>
    <w:rsid w:val="001C1EDD"/>
    <w:rsid w:val="001C295D"/>
    <w:rsid w:val="001C3DF6"/>
    <w:rsid w:val="001C3F64"/>
    <w:rsid w:val="001C4F58"/>
    <w:rsid w:val="001C4FE9"/>
    <w:rsid w:val="001C547B"/>
    <w:rsid w:val="001C59C2"/>
    <w:rsid w:val="001C661D"/>
    <w:rsid w:val="001D0BAB"/>
    <w:rsid w:val="001D22C6"/>
    <w:rsid w:val="001D24D9"/>
    <w:rsid w:val="001D30D2"/>
    <w:rsid w:val="001D3358"/>
    <w:rsid w:val="001D35B4"/>
    <w:rsid w:val="001D38D3"/>
    <w:rsid w:val="001D3BFC"/>
    <w:rsid w:val="001D3DD6"/>
    <w:rsid w:val="001D3F47"/>
    <w:rsid w:val="001D402B"/>
    <w:rsid w:val="001D42DA"/>
    <w:rsid w:val="001D4572"/>
    <w:rsid w:val="001D4F0A"/>
    <w:rsid w:val="001D5633"/>
    <w:rsid w:val="001D6C41"/>
    <w:rsid w:val="001D7E59"/>
    <w:rsid w:val="001E03A8"/>
    <w:rsid w:val="001E052E"/>
    <w:rsid w:val="001E0568"/>
    <w:rsid w:val="001E070F"/>
    <w:rsid w:val="001E1781"/>
    <w:rsid w:val="001E2A0C"/>
    <w:rsid w:val="001E2B7B"/>
    <w:rsid w:val="001E2EC7"/>
    <w:rsid w:val="001E2EE4"/>
    <w:rsid w:val="001E3363"/>
    <w:rsid w:val="001E38D0"/>
    <w:rsid w:val="001E3D3C"/>
    <w:rsid w:val="001E4650"/>
    <w:rsid w:val="001E48F6"/>
    <w:rsid w:val="001E5576"/>
    <w:rsid w:val="001E5956"/>
    <w:rsid w:val="001E7061"/>
    <w:rsid w:val="001F01A3"/>
    <w:rsid w:val="001F0D5F"/>
    <w:rsid w:val="001F12BA"/>
    <w:rsid w:val="001F19FB"/>
    <w:rsid w:val="001F2421"/>
    <w:rsid w:val="001F2480"/>
    <w:rsid w:val="001F3A1E"/>
    <w:rsid w:val="001F3F3D"/>
    <w:rsid w:val="001F49D8"/>
    <w:rsid w:val="001F4D80"/>
    <w:rsid w:val="001F517E"/>
    <w:rsid w:val="001F58B5"/>
    <w:rsid w:val="001F5BDD"/>
    <w:rsid w:val="001F61C1"/>
    <w:rsid w:val="001F6653"/>
    <w:rsid w:val="001F7600"/>
    <w:rsid w:val="001F7A26"/>
    <w:rsid w:val="001F7D32"/>
    <w:rsid w:val="0020037D"/>
    <w:rsid w:val="002013E9"/>
    <w:rsid w:val="002024AD"/>
    <w:rsid w:val="0020252E"/>
    <w:rsid w:val="002028B7"/>
    <w:rsid w:val="00203017"/>
    <w:rsid w:val="00203971"/>
    <w:rsid w:val="00203AAF"/>
    <w:rsid w:val="00203E49"/>
    <w:rsid w:val="0020498E"/>
    <w:rsid w:val="00204C27"/>
    <w:rsid w:val="0020548F"/>
    <w:rsid w:val="0020731D"/>
    <w:rsid w:val="002075EC"/>
    <w:rsid w:val="00211237"/>
    <w:rsid w:val="002119C6"/>
    <w:rsid w:val="002119F4"/>
    <w:rsid w:val="00211ABE"/>
    <w:rsid w:val="00211BB1"/>
    <w:rsid w:val="002126B4"/>
    <w:rsid w:val="00213B36"/>
    <w:rsid w:val="00213EA9"/>
    <w:rsid w:val="00213F88"/>
    <w:rsid w:val="0021465F"/>
    <w:rsid w:val="00215BFF"/>
    <w:rsid w:val="0021727A"/>
    <w:rsid w:val="002175C6"/>
    <w:rsid w:val="00220638"/>
    <w:rsid w:val="00220A12"/>
    <w:rsid w:val="0022148F"/>
    <w:rsid w:val="00222441"/>
    <w:rsid w:val="00222C69"/>
    <w:rsid w:val="0022306E"/>
    <w:rsid w:val="00224D74"/>
    <w:rsid w:val="00226326"/>
    <w:rsid w:val="00227B5E"/>
    <w:rsid w:val="00227C01"/>
    <w:rsid w:val="00230D3D"/>
    <w:rsid w:val="00231978"/>
    <w:rsid w:val="002319A6"/>
    <w:rsid w:val="0023269E"/>
    <w:rsid w:val="00234E8E"/>
    <w:rsid w:val="002361B2"/>
    <w:rsid w:val="00236523"/>
    <w:rsid w:val="0023653A"/>
    <w:rsid w:val="0023682D"/>
    <w:rsid w:val="00236C95"/>
    <w:rsid w:val="002373B3"/>
    <w:rsid w:val="00237EBE"/>
    <w:rsid w:val="0024098C"/>
    <w:rsid w:val="00240C62"/>
    <w:rsid w:val="00241270"/>
    <w:rsid w:val="0024163E"/>
    <w:rsid w:val="0024225B"/>
    <w:rsid w:val="002423A8"/>
    <w:rsid w:val="0024255F"/>
    <w:rsid w:val="00242723"/>
    <w:rsid w:val="0024288E"/>
    <w:rsid w:val="00242984"/>
    <w:rsid w:val="00242AA4"/>
    <w:rsid w:val="00242C69"/>
    <w:rsid w:val="00242F80"/>
    <w:rsid w:val="00243C4B"/>
    <w:rsid w:val="00243C82"/>
    <w:rsid w:val="00244B93"/>
    <w:rsid w:val="0024583D"/>
    <w:rsid w:val="00245CA4"/>
    <w:rsid w:val="0024662F"/>
    <w:rsid w:val="00247482"/>
    <w:rsid w:val="00247D30"/>
    <w:rsid w:val="00247F96"/>
    <w:rsid w:val="00250097"/>
    <w:rsid w:val="00250288"/>
    <w:rsid w:val="002505F9"/>
    <w:rsid w:val="0025168C"/>
    <w:rsid w:val="00251C29"/>
    <w:rsid w:val="002520FB"/>
    <w:rsid w:val="00253215"/>
    <w:rsid w:val="00253781"/>
    <w:rsid w:val="00253CA6"/>
    <w:rsid w:val="0025455F"/>
    <w:rsid w:val="00254FC2"/>
    <w:rsid w:val="00255644"/>
    <w:rsid w:val="00255CEF"/>
    <w:rsid w:val="00255EF1"/>
    <w:rsid w:val="00256096"/>
    <w:rsid w:val="002576D7"/>
    <w:rsid w:val="00257769"/>
    <w:rsid w:val="00260260"/>
    <w:rsid w:val="00261D9F"/>
    <w:rsid w:val="0026268C"/>
    <w:rsid w:val="0026349F"/>
    <w:rsid w:val="00263C0D"/>
    <w:rsid w:val="00263E61"/>
    <w:rsid w:val="00264094"/>
    <w:rsid w:val="00264109"/>
    <w:rsid w:val="002647A0"/>
    <w:rsid w:val="00264E0C"/>
    <w:rsid w:val="00264FD3"/>
    <w:rsid w:val="002655D3"/>
    <w:rsid w:val="00266968"/>
    <w:rsid w:val="00266A50"/>
    <w:rsid w:val="00266AB5"/>
    <w:rsid w:val="00267671"/>
    <w:rsid w:val="00267D5C"/>
    <w:rsid w:val="00270B01"/>
    <w:rsid w:val="002712B6"/>
    <w:rsid w:val="002715A5"/>
    <w:rsid w:val="00271A06"/>
    <w:rsid w:val="00271A6F"/>
    <w:rsid w:val="00271F31"/>
    <w:rsid w:val="00272C4C"/>
    <w:rsid w:val="00272DF1"/>
    <w:rsid w:val="00273290"/>
    <w:rsid w:val="00273D7B"/>
    <w:rsid w:val="002747C4"/>
    <w:rsid w:val="00275CA9"/>
    <w:rsid w:val="00275EA8"/>
    <w:rsid w:val="002767C8"/>
    <w:rsid w:val="00276DDB"/>
    <w:rsid w:val="002770DB"/>
    <w:rsid w:val="002772CB"/>
    <w:rsid w:val="00280485"/>
    <w:rsid w:val="002805CB"/>
    <w:rsid w:val="002806CE"/>
    <w:rsid w:val="00284A24"/>
    <w:rsid w:val="00284D4D"/>
    <w:rsid w:val="00285684"/>
    <w:rsid w:val="0028591D"/>
    <w:rsid w:val="00285D4C"/>
    <w:rsid w:val="002907A4"/>
    <w:rsid w:val="00290AA1"/>
    <w:rsid w:val="00291090"/>
    <w:rsid w:val="0029461C"/>
    <w:rsid w:val="00294658"/>
    <w:rsid w:val="00294747"/>
    <w:rsid w:val="00294D42"/>
    <w:rsid w:val="0029631F"/>
    <w:rsid w:val="0029640A"/>
    <w:rsid w:val="00296518"/>
    <w:rsid w:val="002974E7"/>
    <w:rsid w:val="00297AD0"/>
    <w:rsid w:val="002A0119"/>
    <w:rsid w:val="002A0A46"/>
    <w:rsid w:val="002A1838"/>
    <w:rsid w:val="002A2BFF"/>
    <w:rsid w:val="002A2C72"/>
    <w:rsid w:val="002A40F7"/>
    <w:rsid w:val="002A42EA"/>
    <w:rsid w:val="002A43D2"/>
    <w:rsid w:val="002A4BFD"/>
    <w:rsid w:val="002A4CAA"/>
    <w:rsid w:val="002A6414"/>
    <w:rsid w:val="002A67B4"/>
    <w:rsid w:val="002A6AF9"/>
    <w:rsid w:val="002B032D"/>
    <w:rsid w:val="002B0444"/>
    <w:rsid w:val="002B047E"/>
    <w:rsid w:val="002B1C0F"/>
    <w:rsid w:val="002B2378"/>
    <w:rsid w:val="002B3D3C"/>
    <w:rsid w:val="002B490A"/>
    <w:rsid w:val="002B4C9C"/>
    <w:rsid w:val="002B4D64"/>
    <w:rsid w:val="002B5D90"/>
    <w:rsid w:val="002B5E71"/>
    <w:rsid w:val="002B62FC"/>
    <w:rsid w:val="002B673E"/>
    <w:rsid w:val="002C0D83"/>
    <w:rsid w:val="002C0EEF"/>
    <w:rsid w:val="002C1322"/>
    <w:rsid w:val="002C1BCF"/>
    <w:rsid w:val="002C2B4B"/>
    <w:rsid w:val="002C2EEE"/>
    <w:rsid w:val="002C4583"/>
    <w:rsid w:val="002C58E0"/>
    <w:rsid w:val="002C5ABF"/>
    <w:rsid w:val="002C5AC6"/>
    <w:rsid w:val="002C670D"/>
    <w:rsid w:val="002C6FF2"/>
    <w:rsid w:val="002C779C"/>
    <w:rsid w:val="002D01D9"/>
    <w:rsid w:val="002D04F4"/>
    <w:rsid w:val="002D0B40"/>
    <w:rsid w:val="002D1217"/>
    <w:rsid w:val="002D2367"/>
    <w:rsid w:val="002D3618"/>
    <w:rsid w:val="002D36FF"/>
    <w:rsid w:val="002D4201"/>
    <w:rsid w:val="002D582A"/>
    <w:rsid w:val="002D699A"/>
    <w:rsid w:val="002E0454"/>
    <w:rsid w:val="002E0588"/>
    <w:rsid w:val="002E1C80"/>
    <w:rsid w:val="002E1E35"/>
    <w:rsid w:val="002E219C"/>
    <w:rsid w:val="002E2574"/>
    <w:rsid w:val="002E25E8"/>
    <w:rsid w:val="002E30EF"/>
    <w:rsid w:val="002E4C73"/>
    <w:rsid w:val="002E50B5"/>
    <w:rsid w:val="002E564B"/>
    <w:rsid w:val="002E5C26"/>
    <w:rsid w:val="002E69AA"/>
    <w:rsid w:val="002E6A74"/>
    <w:rsid w:val="002F13E4"/>
    <w:rsid w:val="002F1A25"/>
    <w:rsid w:val="002F278F"/>
    <w:rsid w:val="002F2B04"/>
    <w:rsid w:val="002F30E2"/>
    <w:rsid w:val="002F364A"/>
    <w:rsid w:val="002F44A0"/>
    <w:rsid w:val="002F48AC"/>
    <w:rsid w:val="002F4FE2"/>
    <w:rsid w:val="002F5C0F"/>
    <w:rsid w:val="002F5EF8"/>
    <w:rsid w:val="002F61FA"/>
    <w:rsid w:val="002F63AA"/>
    <w:rsid w:val="002F688B"/>
    <w:rsid w:val="002F7083"/>
    <w:rsid w:val="002F7465"/>
    <w:rsid w:val="002F74E0"/>
    <w:rsid w:val="002F74F8"/>
    <w:rsid w:val="002F7795"/>
    <w:rsid w:val="00300584"/>
    <w:rsid w:val="003011A5"/>
    <w:rsid w:val="003015CC"/>
    <w:rsid w:val="00301B74"/>
    <w:rsid w:val="00301D09"/>
    <w:rsid w:val="00302C53"/>
    <w:rsid w:val="00302D7C"/>
    <w:rsid w:val="003031F8"/>
    <w:rsid w:val="0030359B"/>
    <w:rsid w:val="00303A4D"/>
    <w:rsid w:val="00303A7E"/>
    <w:rsid w:val="00304872"/>
    <w:rsid w:val="0030651E"/>
    <w:rsid w:val="003079D3"/>
    <w:rsid w:val="003103B2"/>
    <w:rsid w:val="00310518"/>
    <w:rsid w:val="00312214"/>
    <w:rsid w:val="003126D1"/>
    <w:rsid w:val="0031277E"/>
    <w:rsid w:val="00314717"/>
    <w:rsid w:val="003151AF"/>
    <w:rsid w:val="0031607D"/>
    <w:rsid w:val="003163C2"/>
    <w:rsid w:val="00316538"/>
    <w:rsid w:val="00320101"/>
    <w:rsid w:val="00320109"/>
    <w:rsid w:val="00321636"/>
    <w:rsid w:val="00322E61"/>
    <w:rsid w:val="00323575"/>
    <w:rsid w:val="00324BC5"/>
    <w:rsid w:val="00324F29"/>
    <w:rsid w:val="00325297"/>
    <w:rsid w:val="00326848"/>
    <w:rsid w:val="00326F7D"/>
    <w:rsid w:val="0032741E"/>
    <w:rsid w:val="003274A8"/>
    <w:rsid w:val="00330D71"/>
    <w:rsid w:val="003312DC"/>
    <w:rsid w:val="00333B3C"/>
    <w:rsid w:val="00334812"/>
    <w:rsid w:val="00335311"/>
    <w:rsid w:val="0033574B"/>
    <w:rsid w:val="00335771"/>
    <w:rsid w:val="00336366"/>
    <w:rsid w:val="00336D20"/>
    <w:rsid w:val="00340117"/>
    <w:rsid w:val="00340C9D"/>
    <w:rsid w:val="003412EE"/>
    <w:rsid w:val="00341837"/>
    <w:rsid w:val="003418CA"/>
    <w:rsid w:val="00341A42"/>
    <w:rsid w:val="00341DD6"/>
    <w:rsid w:val="00341E18"/>
    <w:rsid w:val="00342974"/>
    <w:rsid w:val="00342AD3"/>
    <w:rsid w:val="00343780"/>
    <w:rsid w:val="0034388F"/>
    <w:rsid w:val="00343B61"/>
    <w:rsid w:val="00344977"/>
    <w:rsid w:val="003450B0"/>
    <w:rsid w:val="00345298"/>
    <w:rsid w:val="0034565B"/>
    <w:rsid w:val="0034632D"/>
    <w:rsid w:val="00346681"/>
    <w:rsid w:val="0034675E"/>
    <w:rsid w:val="003468E5"/>
    <w:rsid w:val="00346E5D"/>
    <w:rsid w:val="00347DE9"/>
    <w:rsid w:val="00350450"/>
    <w:rsid w:val="003506D0"/>
    <w:rsid w:val="00350A80"/>
    <w:rsid w:val="00351CB1"/>
    <w:rsid w:val="00352C9F"/>
    <w:rsid w:val="00352F49"/>
    <w:rsid w:val="00353B2C"/>
    <w:rsid w:val="003549AB"/>
    <w:rsid w:val="00355859"/>
    <w:rsid w:val="00355875"/>
    <w:rsid w:val="00355C1B"/>
    <w:rsid w:val="00356749"/>
    <w:rsid w:val="0035694A"/>
    <w:rsid w:val="00356AF5"/>
    <w:rsid w:val="00356E50"/>
    <w:rsid w:val="003571B6"/>
    <w:rsid w:val="00357289"/>
    <w:rsid w:val="0035733B"/>
    <w:rsid w:val="003573DE"/>
    <w:rsid w:val="00357834"/>
    <w:rsid w:val="00363629"/>
    <w:rsid w:val="00363FD6"/>
    <w:rsid w:val="003651FB"/>
    <w:rsid w:val="003654EE"/>
    <w:rsid w:val="0036588B"/>
    <w:rsid w:val="00365DE8"/>
    <w:rsid w:val="00366842"/>
    <w:rsid w:val="003670F0"/>
    <w:rsid w:val="0036715B"/>
    <w:rsid w:val="00370F72"/>
    <w:rsid w:val="003712F0"/>
    <w:rsid w:val="00371A7A"/>
    <w:rsid w:val="003730E2"/>
    <w:rsid w:val="00373525"/>
    <w:rsid w:val="00373CCD"/>
    <w:rsid w:val="0037462C"/>
    <w:rsid w:val="003749E2"/>
    <w:rsid w:val="003757AE"/>
    <w:rsid w:val="00375A8C"/>
    <w:rsid w:val="00375F7C"/>
    <w:rsid w:val="00376540"/>
    <w:rsid w:val="00376B03"/>
    <w:rsid w:val="00376BE5"/>
    <w:rsid w:val="003776AF"/>
    <w:rsid w:val="00380CD3"/>
    <w:rsid w:val="00381520"/>
    <w:rsid w:val="003819C6"/>
    <w:rsid w:val="00381A67"/>
    <w:rsid w:val="00381AB4"/>
    <w:rsid w:val="003825F5"/>
    <w:rsid w:val="003827A1"/>
    <w:rsid w:val="00382AF2"/>
    <w:rsid w:val="00382F36"/>
    <w:rsid w:val="00383974"/>
    <w:rsid w:val="00384880"/>
    <w:rsid w:val="00384985"/>
    <w:rsid w:val="00384D81"/>
    <w:rsid w:val="003855DD"/>
    <w:rsid w:val="003856AA"/>
    <w:rsid w:val="00386315"/>
    <w:rsid w:val="00387FDD"/>
    <w:rsid w:val="0039137F"/>
    <w:rsid w:val="00391802"/>
    <w:rsid w:val="00392928"/>
    <w:rsid w:val="00393FEC"/>
    <w:rsid w:val="00394E6D"/>
    <w:rsid w:val="00395CED"/>
    <w:rsid w:val="00396DC3"/>
    <w:rsid w:val="00397545"/>
    <w:rsid w:val="00397C28"/>
    <w:rsid w:val="003A0576"/>
    <w:rsid w:val="003A09A8"/>
    <w:rsid w:val="003A0B92"/>
    <w:rsid w:val="003A12F7"/>
    <w:rsid w:val="003A1846"/>
    <w:rsid w:val="003A1ADC"/>
    <w:rsid w:val="003A1C73"/>
    <w:rsid w:val="003A1F70"/>
    <w:rsid w:val="003A22E4"/>
    <w:rsid w:val="003A2353"/>
    <w:rsid w:val="003A3E7F"/>
    <w:rsid w:val="003A52E1"/>
    <w:rsid w:val="003A6284"/>
    <w:rsid w:val="003A7DFB"/>
    <w:rsid w:val="003A7F39"/>
    <w:rsid w:val="003B019B"/>
    <w:rsid w:val="003B0488"/>
    <w:rsid w:val="003B06A7"/>
    <w:rsid w:val="003B1AAE"/>
    <w:rsid w:val="003B1FD9"/>
    <w:rsid w:val="003B2B07"/>
    <w:rsid w:val="003B34EA"/>
    <w:rsid w:val="003B3A17"/>
    <w:rsid w:val="003B4C60"/>
    <w:rsid w:val="003B4ECA"/>
    <w:rsid w:val="003B4FC7"/>
    <w:rsid w:val="003B5A9E"/>
    <w:rsid w:val="003B6B1C"/>
    <w:rsid w:val="003B7EC8"/>
    <w:rsid w:val="003C050A"/>
    <w:rsid w:val="003C0CB5"/>
    <w:rsid w:val="003C15BB"/>
    <w:rsid w:val="003C17D7"/>
    <w:rsid w:val="003C32C7"/>
    <w:rsid w:val="003C3822"/>
    <w:rsid w:val="003C3C04"/>
    <w:rsid w:val="003C3C12"/>
    <w:rsid w:val="003C42C7"/>
    <w:rsid w:val="003C50E0"/>
    <w:rsid w:val="003C53E3"/>
    <w:rsid w:val="003C559F"/>
    <w:rsid w:val="003C5653"/>
    <w:rsid w:val="003C5CC8"/>
    <w:rsid w:val="003C7225"/>
    <w:rsid w:val="003C7B80"/>
    <w:rsid w:val="003C7E06"/>
    <w:rsid w:val="003C7E3F"/>
    <w:rsid w:val="003D0408"/>
    <w:rsid w:val="003D137E"/>
    <w:rsid w:val="003D29ED"/>
    <w:rsid w:val="003D2BF4"/>
    <w:rsid w:val="003D3489"/>
    <w:rsid w:val="003D3CBF"/>
    <w:rsid w:val="003D4A52"/>
    <w:rsid w:val="003D5C69"/>
    <w:rsid w:val="003D5CA4"/>
    <w:rsid w:val="003D5F26"/>
    <w:rsid w:val="003E1186"/>
    <w:rsid w:val="003E123A"/>
    <w:rsid w:val="003E1578"/>
    <w:rsid w:val="003E18B7"/>
    <w:rsid w:val="003E1FF1"/>
    <w:rsid w:val="003E225D"/>
    <w:rsid w:val="003E2A07"/>
    <w:rsid w:val="003E2A82"/>
    <w:rsid w:val="003E37A1"/>
    <w:rsid w:val="003E3B3F"/>
    <w:rsid w:val="003E42A7"/>
    <w:rsid w:val="003E5300"/>
    <w:rsid w:val="003E5E10"/>
    <w:rsid w:val="003E6133"/>
    <w:rsid w:val="003F0045"/>
    <w:rsid w:val="003F0514"/>
    <w:rsid w:val="003F0BFA"/>
    <w:rsid w:val="003F1343"/>
    <w:rsid w:val="003F1701"/>
    <w:rsid w:val="003F28E8"/>
    <w:rsid w:val="003F2981"/>
    <w:rsid w:val="003F2D9E"/>
    <w:rsid w:val="003F3236"/>
    <w:rsid w:val="003F4D6C"/>
    <w:rsid w:val="003F5DA6"/>
    <w:rsid w:val="003F650E"/>
    <w:rsid w:val="003F6B5C"/>
    <w:rsid w:val="004001F7"/>
    <w:rsid w:val="00401105"/>
    <w:rsid w:val="0040182A"/>
    <w:rsid w:val="00403669"/>
    <w:rsid w:val="00403953"/>
    <w:rsid w:val="00403ACF"/>
    <w:rsid w:val="00403F85"/>
    <w:rsid w:val="004040BE"/>
    <w:rsid w:val="0040464F"/>
    <w:rsid w:val="00405429"/>
    <w:rsid w:val="004054CC"/>
    <w:rsid w:val="00406569"/>
    <w:rsid w:val="00406AAB"/>
    <w:rsid w:val="00406DBE"/>
    <w:rsid w:val="00406DDB"/>
    <w:rsid w:val="004075E3"/>
    <w:rsid w:val="00407F20"/>
    <w:rsid w:val="00411292"/>
    <w:rsid w:val="00412447"/>
    <w:rsid w:val="00412FFA"/>
    <w:rsid w:val="00413437"/>
    <w:rsid w:val="00413DA2"/>
    <w:rsid w:val="004151B6"/>
    <w:rsid w:val="0041641B"/>
    <w:rsid w:val="00416835"/>
    <w:rsid w:val="00416B52"/>
    <w:rsid w:val="00416E2C"/>
    <w:rsid w:val="00416F0C"/>
    <w:rsid w:val="0041776C"/>
    <w:rsid w:val="00417AD9"/>
    <w:rsid w:val="00420078"/>
    <w:rsid w:val="00420284"/>
    <w:rsid w:val="0042047E"/>
    <w:rsid w:val="004205F5"/>
    <w:rsid w:val="00421067"/>
    <w:rsid w:val="00421190"/>
    <w:rsid w:val="0042143D"/>
    <w:rsid w:val="004215F6"/>
    <w:rsid w:val="00421DDD"/>
    <w:rsid w:val="004229FD"/>
    <w:rsid w:val="00422C18"/>
    <w:rsid w:val="0042365D"/>
    <w:rsid w:val="00424CE8"/>
    <w:rsid w:val="00425233"/>
    <w:rsid w:val="0042535B"/>
    <w:rsid w:val="00425FAB"/>
    <w:rsid w:val="00426806"/>
    <w:rsid w:val="00426A42"/>
    <w:rsid w:val="004317F9"/>
    <w:rsid w:val="00432A34"/>
    <w:rsid w:val="00432D9B"/>
    <w:rsid w:val="00434017"/>
    <w:rsid w:val="0043417E"/>
    <w:rsid w:val="0043424C"/>
    <w:rsid w:val="004343D0"/>
    <w:rsid w:val="00434E39"/>
    <w:rsid w:val="00434E99"/>
    <w:rsid w:val="004355B9"/>
    <w:rsid w:val="0043569C"/>
    <w:rsid w:val="004358CB"/>
    <w:rsid w:val="00435AF1"/>
    <w:rsid w:val="00435F47"/>
    <w:rsid w:val="0043641A"/>
    <w:rsid w:val="0043655E"/>
    <w:rsid w:val="004377B7"/>
    <w:rsid w:val="0044072B"/>
    <w:rsid w:val="00440789"/>
    <w:rsid w:val="00440E39"/>
    <w:rsid w:val="00441219"/>
    <w:rsid w:val="00441567"/>
    <w:rsid w:val="00441DF9"/>
    <w:rsid w:val="00441EBE"/>
    <w:rsid w:val="00442665"/>
    <w:rsid w:val="00442861"/>
    <w:rsid w:val="00442BDB"/>
    <w:rsid w:val="00443472"/>
    <w:rsid w:val="004439AF"/>
    <w:rsid w:val="00443BAB"/>
    <w:rsid w:val="00443C84"/>
    <w:rsid w:val="00444546"/>
    <w:rsid w:val="00444F7F"/>
    <w:rsid w:val="004459E9"/>
    <w:rsid w:val="00445BF9"/>
    <w:rsid w:val="00446093"/>
    <w:rsid w:val="004463C4"/>
    <w:rsid w:val="004470DC"/>
    <w:rsid w:val="0044798A"/>
    <w:rsid w:val="00450281"/>
    <w:rsid w:val="00451F4C"/>
    <w:rsid w:val="00451FB8"/>
    <w:rsid w:val="0045226F"/>
    <w:rsid w:val="0045229A"/>
    <w:rsid w:val="00453BFD"/>
    <w:rsid w:val="00453C6F"/>
    <w:rsid w:val="004548EE"/>
    <w:rsid w:val="00454E82"/>
    <w:rsid w:val="00455758"/>
    <w:rsid w:val="00455A38"/>
    <w:rsid w:val="00460963"/>
    <w:rsid w:val="00460A32"/>
    <w:rsid w:val="00460F1B"/>
    <w:rsid w:val="0046156F"/>
    <w:rsid w:val="0046239E"/>
    <w:rsid w:val="00463396"/>
    <w:rsid w:val="00464511"/>
    <w:rsid w:val="004646EC"/>
    <w:rsid w:val="00464E84"/>
    <w:rsid w:val="004663F0"/>
    <w:rsid w:val="00466539"/>
    <w:rsid w:val="004675B1"/>
    <w:rsid w:val="00467D7C"/>
    <w:rsid w:val="004712D4"/>
    <w:rsid w:val="00472512"/>
    <w:rsid w:val="00473451"/>
    <w:rsid w:val="004734B6"/>
    <w:rsid w:val="00473A17"/>
    <w:rsid w:val="00474347"/>
    <w:rsid w:val="004756B2"/>
    <w:rsid w:val="004759D7"/>
    <w:rsid w:val="00475B25"/>
    <w:rsid w:val="00475D28"/>
    <w:rsid w:val="00476A7E"/>
    <w:rsid w:val="004779F6"/>
    <w:rsid w:val="00477EE2"/>
    <w:rsid w:val="00480315"/>
    <w:rsid w:val="00480713"/>
    <w:rsid w:val="00480895"/>
    <w:rsid w:val="00480DA3"/>
    <w:rsid w:val="00481CCA"/>
    <w:rsid w:val="004837C5"/>
    <w:rsid w:val="00483830"/>
    <w:rsid w:val="00483B7E"/>
    <w:rsid w:val="00484915"/>
    <w:rsid w:val="004849C1"/>
    <w:rsid w:val="00484FF3"/>
    <w:rsid w:val="00485BE7"/>
    <w:rsid w:val="00487203"/>
    <w:rsid w:val="00487D04"/>
    <w:rsid w:val="00487F25"/>
    <w:rsid w:val="0049087E"/>
    <w:rsid w:val="00491DEE"/>
    <w:rsid w:val="00491E48"/>
    <w:rsid w:val="00491EE2"/>
    <w:rsid w:val="00492955"/>
    <w:rsid w:val="004943F6"/>
    <w:rsid w:val="00494790"/>
    <w:rsid w:val="00494E3B"/>
    <w:rsid w:val="00496837"/>
    <w:rsid w:val="00497A2D"/>
    <w:rsid w:val="00497A97"/>
    <w:rsid w:val="00497DBF"/>
    <w:rsid w:val="004A1168"/>
    <w:rsid w:val="004A1400"/>
    <w:rsid w:val="004A349A"/>
    <w:rsid w:val="004A3F71"/>
    <w:rsid w:val="004A45C7"/>
    <w:rsid w:val="004A53B8"/>
    <w:rsid w:val="004A5A2C"/>
    <w:rsid w:val="004A5F69"/>
    <w:rsid w:val="004A76B5"/>
    <w:rsid w:val="004A7A49"/>
    <w:rsid w:val="004A7EFE"/>
    <w:rsid w:val="004B0636"/>
    <w:rsid w:val="004B18E6"/>
    <w:rsid w:val="004B20BC"/>
    <w:rsid w:val="004B25FE"/>
    <w:rsid w:val="004B2E48"/>
    <w:rsid w:val="004B3066"/>
    <w:rsid w:val="004B4085"/>
    <w:rsid w:val="004B4BB6"/>
    <w:rsid w:val="004B6534"/>
    <w:rsid w:val="004B671A"/>
    <w:rsid w:val="004B6A90"/>
    <w:rsid w:val="004B6B6D"/>
    <w:rsid w:val="004B6DCF"/>
    <w:rsid w:val="004B729F"/>
    <w:rsid w:val="004B72DE"/>
    <w:rsid w:val="004B7F0D"/>
    <w:rsid w:val="004C0996"/>
    <w:rsid w:val="004C14CE"/>
    <w:rsid w:val="004C1A14"/>
    <w:rsid w:val="004C2F33"/>
    <w:rsid w:val="004C33C5"/>
    <w:rsid w:val="004C39B2"/>
    <w:rsid w:val="004C3AE2"/>
    <w:rsid w:val="004C43AC"/>
    <w:rsid w:val="004C4889"/>
    <w:rsid w:val="004C5CC2"/>
    <w:rsid w:val="004C63F6"/>
    <w:rsid w:val="004C64CB"/>
    <w:rsid w:val="004C7020"/>
    <w:rsid w:val="004C71D2"/>
    <w:rsid w:val="004C79BA"/>
    <w:rsid w:val="004D0571"/>
    <w:rsid w:val="004D1578"/>
    <w:rsid w:val="004D193C"/>
    <w:rsid w:val="004D290A"/>
    <w:rsid w:val="004D2C4C"/>
    <w:rsid w:val="004D2D67"/>
    <w:rsid w:val="004D3179"/>
    <w:rsid w:val="004D31A6"/>
    <w:rsid w:val="004D3280"/>
    <w:rsid w:val="004D4349"/>
    <w:rsid w:val="004D456E"/>
    <w:rsid w:val="004D4651"/>
    <w:rsid w:val="004D47F3"/>
    <w:rsid w:val="004D48F4"/>
    <w:rsid w:val="004D4FA4"/>
    <w:rsid w:val="004D4FB1"/>
    <w:rsid w:val="004E0D98"/>
    <w:rsid w:val="004E0DE7"/>
    <w:rsid w:val="004E146C"/>
    <w:rsid w:val="004E3024"/>
    <w:rsid w:val="004E44D9"/>
    <w:rsid w:val="004E5981"/>
    <w:rsid w:val="004E5B90"/>
    <w:rsid w:val="004E5E4A"/>
    <w:rsid w:val="004E6428"/>
    <w:rsid w:val="004E652B"/>
    <w:rsid w:val="004E6E54"/>
    <w:rsid w:val="004E7660"/>
    <w:rsid w:val="004E7A11"/>
    <w:rsid w:val="004E7EA3"/>
    <w:rsid w:val="004F0F6D"/>
    <w:rsid w:val="004F17E4"/>
    <w:rsid w:val="004F1FE9"/>
    <w:rsid w:val="004F22F7"/>
    <w:rsid w:val="004F231B"/>
    <w:rsid w:val="004F416B"/>
    <w:rsid w:val="004F4D9E"/>
    <w:rsid w:val="004F5828"/>
    <w:rsid w:val="004F668C"/>
    <w:rsid w:val="004F7711"/>
    <w:rsid w:val="004F78D5"/>
    <w:rsid w:val="004F7C8A"/>
    <w:rsid w:val="004F7DA1"/>
    <w:rsid w:val="004F7E65"/>
    <w:rsid w:val="004F7E78"/>
    <w:rsid w:val="00500B1B"/>
    <w:rsid w:val="0050192D"/>
    <w:rsid w:val="00501943"/>
    <w:rsid w:val="0050269C"/>
    <w:rsid w:val="00502C4E"/>
    <w:rsid w:val="005034A1"/>
    <w:rsid w:val="00504E9B"/>
    <w:rsid w:val="00504F15"/>
    <w:rsid w:val="0050525E"/>
    <w:rsid w:val="00505643"/>
    <w:rsid w:val="00505965"/>
    <w:rsid w:val="00506570"/>
    <w:rsid w:val="00506AD5"/>
    <w:rsid w:val="005073E5"/>
    <w:rsid w:val="00507414"/>
    <w:rsid w:val="005101EA"/>
    <w:rsid w:val="00510294"/>
    <w:rsid w:val="00510334"/>
    <w:rsid w:val="00510616"/>
    <w:rsid w:val="00512140"/>
    <w:rsid w:val="00512D3E"/>
    <w:rsid w:val="00513B9E"/>
    <w:rsid w:val="00513FD0"/>
    <w:rsid w:val="00514509"/>
    <w:rsid w:val="00514B02"/>
    <w:rsid w:val="0051587B"/>
    <w:rsid w:val="00516346"/>
    <w:rsid w:val="005170D6"/>
    <w:rsid w:val="00521405"/>
    <w:rsid w:val="0052276B"/>
    <w:rsid w:val="00522AC0"/>
    <w:rsid w:val="00522CA5"/>
    <w:rsid w:val="00522D7C"/>
    <w:rsid w:val="00522DD7"/>
    <w:rsid w:val="00522EDC"/>
    <w:rsid w:val="005236D0"/>
    <w:rsid w:val="00523F4F"/>
    <w:rsid w:val="00524491"/>
    <w:rsid w:val="00524C92"/>
    <w:rsid w:val="00524CA0"/>
    <w:rsid w:val="005255D7"/>
    <w:rsid w:val="005277FF"/>
    <w:rsid w:val="0052783E"/>
    <w:rsid w:val="0053033D"/>
    <w:rsid w:val="00531460"/>
    <w:rsid w:val="00533740"/>
    <w:rsid w:val="00534BB0"/>
    <w:rsid w:val="00535C88"/>
    <w:rsid w:val="00536D52"/>
    <w:rsid w:val="00541025"/>
    <w:rsid w:val="00541538"/>
    <w:rsid w:val="00541BF8"/>
    <w:rsid w:val="00542388"/>
    <w:rsid w:val="005423AD"/>
    <w:rsid w:val="00542A07"/>
    <w:rsid w:val="00542DF0"/>
    <w:rsid w:val="00544045"/>
    <w:rsid w:val="0054474C"/>
    <w:rsid w:val="00545128"/>
    <w:rsid w:val="00546AD0"/>
    <w:rsid w:val="0054791F"/>
    <w:rsid w:val="00547B8E"/>
    <w:rsid w:val="0055083B"/>
    <w:rsid w:val="00551772"/>
    <w:rsid w:val="00551B7F"/>
    <w:rsid w:val="005523C7"/>
    <w:rsid w:val="00553AA0"/>
    <w:rsid w:val="00554389"/>
    <w:rsid w:val="0055440A"/>
    <w:rsid w:val="0055462D"/>
    <w:rsid w:val="00554F7A"/>
    <w:rsid w:val="00556CD8"/>
    <w:rsid w:val="00556FD2"/>
    <w:rsid w:val="0055765D"/>
    <w:rsid w:val="005604B3"/>
    <w:rsid w:val="00560B61"/>
    <w:rsid w:val="00561774"/>
    <w:rsid w:val="00562BD6"/>
    <w:rsid w:val="00563EB5"/>
    <w:rsid w:val="00564524"/>
    <w:rsid w:val="005646BA"/>
    <w:rsid w:val="0056659D"/>
    <w:rsid w:val="005707E8"/>
    <w:rsid w:val="00570C7D"/>
    <w:rsid w:val="00570D38"/>
    <w:rsid w:val="0057225C"/>
    <w:rsid w:val="0057310D"/>
    <w:rsid w:val="00574A00"/>
    <w:rsid w:val="00574B8F"/>
    <w:rsid w:val="00575B0E"/>
    <w:rsid w:val="00576AB5"/>
    <w:rsid w:val="00577936"/>
    <w:rsid w:val="00577D01"/>
    <w:rsid w:val="00580693"/>
    <w:rsid w:val="00580978"/>
    <w:rsid w:val="00580DE4"/>
    <w:rsid w:val="00581425"/>
    <w:rsid w:val="00581B7B"/>
    <w:rsid w:val="00582A86"/>
    <w:rsid w:val="00583647"/>
    <w:rsid w:val="00586236"/>
    <w:rsid w:val="00586A28"/>
    <w:rsid w:val="00586C2A"/>
    <w:rsid w:val="00587F61"/>
    <w:rsid w:val="0059031D"/>
    <w:rsid w:val="0059049A"/>
    <w:rsid w:val="00590709"/>
    <w:rsid w:val="00590C8E"/>
    <w:rsid w:val="005916F3"/>
    <w:rsid w:val="005933B5"/>
    <w:rsid w:val="00593B02"/>
    <w:rsid w:val="0059420E"/>
    <w:rsid w:val="00594258"/>
    <w:rsid w:val="00594317"/>
    <w:rsid w:val="00594934"/>
    <w:rsid w:val="00594A94"/>
    <w:rsid w:val="00594B88"/>
    <w:rsid w:val="00595153"/>
    <w:rsid w:val="0059531D"/>
    <w:rsid w:val="00595596"/>
    <w:rsid w:val="00595A16"/>
    <w:rsid w:val="00595A3D"/>
    <w:rsid w:val="00596BB6"/>
    <w:rsid w:val="00596CD1"/>
    <w:rsid w:val="00596DC1"/>
    <w:rsid w:val="00597D1D"/>
    <w:rsid w:val="005A0170"/>
    <w:rsid w:val="005A1C3F"/>
    <w:rsid w:val="005A23A8"/>
    <w:rsid w:val="005A2D9F"/>
    <w:rsid w:val="005A2DD7"/>
    <w:rsid w:val="005A34B2"/>
    <w:rsid w:val="005A3524"/>
    <w:rsid w:val="005A3679"/>
    <w:rsid w:val="005A3A4B"/>
    <w:rsid w:val="005A4870"/>
    <w:rsid w:val="005A4B10"/>
    <w:rsid w:val="005A516D"/>
    <w:rsid w:val="005A585C"/>
    <w:rsid w:val="005A6286"/>
    <w:rsid w:val="005A7183"/>
    <w:rsid w:val="005A7983"/>
    <w:rsid w:val="005A7C42"/>
    <w:rsid w:val="005B0195"/>
    <w:rsid w:val="005B0B2F"/>
    <w:rsid w:val="005B0BC3"/>
    <w:rsid w:val="005B15DE"/>
    <w:rsid w:val="005B1FED"/>
    <w:rsid w:val="005B39C5"/>
    <w:rsid w:val="005B3FAC"/>
    <w:rsid w:val="005B5495"/>
    <w:rsid w:val="005B56C2"/>
    <w:rsid w:val="005B5CAA"/>
    <w:rsid w:val="005B76B6"/>
    <w:rsid w:val="005B7772"/>
    <w:rsid w:val="005C1248"/>
    <w:rsid w:val="005C14B2"/>
    <w:rsid w:val="005C19AC"/>
    <w:rsid w:val="005C2813"/>
    <w:rsid w:val="005C470E"/>
    <w:rsid w:val="005C4A81"/>
    <w:rsid w:val="005C524B"/>
    <w:rsid w:val="005C5728"/>
    <w:rsid w:val="005C614F"/>
    <w:rsid w:val="005C723B"/>
    <w:rsid w:val="005C7982"/>
    <w:rsid w:val="005C7E89"/>
    <w:rsid w:val="005D0E18"/>
    <w:rsid w:val="005D1DE1"/>
    <w:rsid w:val="005D230C"/>
    <w:rsid w:val="005D3077"/>
    <w:rsid w:val="005D379B"/>
    <w:rsid w:val="005D3A93"/>
    <w:rsid w:val="005D6D6F"/>
    <w:rsid w:val="005D79C4"/>
    <w:rsid w:val="005E00BB"/>
    <w:rsid w:val="005E0251"/>
    <w:rsid w:val="005E0BD6"/>
    <w:rsid w:val="005E0CC8"/>
    <w:rsid w:val="005E159C"/>
    <w:rsid w:val="005E1752"/>
    <w:rsid w:val="005E1BCB"/>
    <w:rsid w:val="005E1C46"/>
    <w:rsid w:val="005E1CA2"/>
    <w:rsid w:val="005E345A"/>
    <w:rsid w:val="005E3B79"/>
    <w:rsid w:val="005E4267"/>
    <w:rsid w:val="005E456E"/>
    <w:rsid w:val="005E4E70"/>
    <w:rsid w:val="005E6C49"/>
    <w:rsid w:val="005E778F"/>
    <w:rsid w:val="005E7ADF"/>
    <w:rsid w:val="005F001D"/>
    <w:rsid w:val="005F01F9"/>
    <w:rsid w:val="005F024A"/>
    <w:rsid w:val="005F1E43"/>
    <w:rsid w:val="005F2240"/>
    <w:rsid w:val="005F3C10"/>
    <w:rsid w:val="005F418D"/>
    <w:rsid w:val="005F491B"/>
    <w:rsid w:val="005F4E3B"/>
    <w:rsid w:val="005F51CF"/>
    <w:rsid w:val="005F529C"/>
    <w:rsid w:val="005F5846"/>
    <w:rsid w:val="005F61A4"/>
    <w:rsid w:val="005F6426"/>
    <w:rsid w:val="005F662D"/>
    <w:rsid w:val="005F780A"/>
    <w:rsid w:val="006000F8"/>
    <w:rsid w:val="006009F6"/>
    <w:rsid w:val="00600BC2"/>
    <w:rsid w:val="00601311"/>
    <w:rsid w:val="0060176E"/>
    <w:rsid w:val="00601901"/>
    <w:rsid w:val="00601F40"/>
    <w:rsid w:val="006024D1"/>
    <w:rsid w:val="0060289A"/>
    <w:rsid w:val="00602C6F"/>
    <w:rsid w:val="0060360D"/>
    <w:rsid w:val="00603DFA"/>
    <w:rsid w:val="00604CBB"/>
    <w:rsid w:val="00604DEE"/>
    <w:rsid w:val="006050FD"/>
    <w:rsid w:val="00605C29"/>
    <w:rsid w:val="00606ED5"/>
    <w:rsid w:val="006100DF"/>
    <w:rsid w:val="00610838"/>
    <w:rsid w:val="00611076"/>
    <w:rsid w:val="006119A9"/>
    <w:rsid w:val="00611B00"/>
    <w:rsid w:val="006134A5"/>
    <w:rsid w:val="00613997"/>
    <w:rsid w:val="00613AAC"/>
    <w:rsid w:val="006149EC"/>
    <w:rsid w:val="00614CA9"/>
    <w:rsid w:val="006157BC"/>
    <w:rsid w:val="00615C08"/>
    <w:rsid w:val="00615E08"/>
    <w:rsid w:val="006160E5"/>
    <w:rsid w:val="006166B5"/>
    <w:rsid w:val="0061677B"/>
    <w:rsid w:val="00616CD2"/>
    <w:rsid w:val="00617714"/>
    <w:rsid w:val="0062095E"/>
    <w:rsid w:val="006220E2"/>
    <w:rsid w:val="006227CE"/>
    <w:rsid w:val="00622928"/>
    <w:rsid w:val="00622B71"/>
    <w:rsid w:val="00623165"/>
    <w:rsid w:val="006238CE"/>
    <w:rsid w:val="006243CD"/>
    <w:rsid w:val="00624542"/>
    <w:rsid w:val="00626513"/>
    <w:rsid w:val="0062687F"/>
    <w:rsid w:val="006269CC"/>
    <w:rsid w:val="00626B0E"/>
    <w:rsid w:val="00626DAF"/>
    <w:rsid w:val="00627AEC"/>
    <w:rsid w:val="006301F3"/>
    <w:rsid w:val="00630370"/>
    <w:rsid w:val="00630CB3"/>
    <w:rsid w:val="00631ADD"/>
    <w:rsid w:val="00631BF4"/>
    <w:rsid w:val="00631E08"/>
    <w:rsid w:val="006324E2"/>
    <w:rsid w:val="00632AB6"/>
    <w:rsid w:val="00633E9B"/>
    <w:rsid w:val="00634036"/>
    <w:rsid w:val="00634876"/>
    <w:rsid w:val="00635A39"/>
    <w:rsid w:val="006362D2"/>
    <w:rsid w:val="0063650E"/>
    <w:rsid w:val="006368D6"/>
    <w:rsid w:val="006374C0"/>
    <w:rsid w:val="0063751B"/>
    <w:rsid w:val="006376AC"/>
    <w:rsid w:val="00637829"/>
    <w:rsid w:val="00641AEC"/>
    <w:rsid w:val="006420B2"/>
    <w:rsid w:val="0064213B"/>
    <w:rsid w:val="006422D7"/>
    <w:rsid w:val="00642BAA"/>
    <w:rsid w:val="00642E33"/>
    <w:rsid w:val="00644E73"/>
    <w:rsid w:val="00645827"/>
    <w:rsid w:val="006468CD"/>
    <w:rsid w:val="00646CC2"/>
    <w:rsid w:val="00647380"/>
    <w:rsid w:val="0065076D"/>
    <w:rsid w:val="006509BA"/>
    <w:rsid w:val="00650C72"/>
    <w:rsid w:val="00652642"/>
    <w:rsid w:val="00652655"/>
    <w:rsid w:val="00652BB0"/>
    <w:rsid w:val="00652BB6"/>
    <w:rsid w:val="00652E63"/>
    <w:rsid w:val="00652EBA"/>
    <w:rsid w:val="00653301"/>
    <w:rsid w:val="0065476D"/>
    <w:rsid w:val="006548D0"/>
    <w:rsid w:val="00655050"/>
    <w:rsid w:val="00655E3F"/>
    <w:rsid w:val="00656976"/>
    <w:rsid w:val="00656E05"/>
    <w:rsid w:val="00657933"/>
    <w:rsid w:val="006579B2"/>
    <w:rsid w:val="00660028"/>
    <w:rsid w:val="00660275"/>
    <w:rsid w:val="006612FD"/>
    <w:rsid w:val="0066242A"/>
    <w:rsid w:val="006624A2"/>
    <w:rsid w:val="006630AD"/>
    <w:rsid w:val="00663B79"/>
    <w:rsid w:val="00664B4D"/>
    <w:rsid w:val="00665637"/>
    <w:rsid w:val="00665B9A"/>
    <w:rsid w:val="00665BBC"/>
    <w:rsid w:val="00666255"/>
    <w:rsid w:val="00666523"/>
    <w:rsid w:val="006672FE"/>
    <w:rsid w:val="00667BE2"/>
    <w:rsid w:val="006702A2"/>
    <w:rsid w:val="006703E5"/>
    <w:rsid w:val="00671AA8"/>
    <w:rsid w:val="00672458"/>
    <w:rsid w:val="0067270A"/>
    <w:rsid w:val="00674906"/>
    <w:rsid w:val="006756E3"/>
    <w:rsid w:val="00675A54"/>
    <w:rsid w:val="00675E5E"/>
    <w:rsid w:val="0067607F"/>
    <w:rsid w:val="00677792"/>
    <w:rsid w:val="006800AC"/>
    <w:rsid w:val="00680351"/>
    <w:rsid w:val="0068059C"/>
    <w:rsid w:val="0068087D"/>
    <w:rsid w:val="00680A9D"/>
    <w:rsid w:val="00680E40"/>
    <w:rsid w:val="0068103D"/>
    <w:rsid w:val="00681081"/>
    <w:rsid w:val="00681279"/>
    <w:rsid w:val="0068173B"/>
    <w:rsid w:val="00681E58"/>
    <w:rsid w:val="0068371F"/>
    <w:rsid w:val="006839EE"/>
    <w:rsid w:val="00683CC8"/>
    <w:rsid w:val="00683FC0"/>
    <w:rsid w:val="0068407B"/>
    <w:rsid w:val="006840F8"/>
    <w:rsid w:val="006848F2"/>
    <w:rsid w:val="00684D1E"/>
    <w:rsid w:val="00684EC4"/>
    <w:rsid w:val="00685081"/>
    <w:rsid w:val="00685368"/>
    <w:rsid w:val="00685AF3"/>
    <w:rsid w:val="00685C5C"/>
    <w:rsid w:val="00690F1E"/>
    <w:rsid w:val="00691D91"/>
    <w:rsid w:val="00692753"/>
    <w:rsid w:val="00692839"/>
    <w:rsid w:val="00693526"/>
    <w:rsid w:val="00693C4B"/>
    <w:rsid w:val="00694012"/>
    <w:rsid w:val="006941E8"/>
    <w:rsid w:val="006945DE"/>
    <w:rsid w:val="00694F37"/>
    <w:rsid w:val="00695620"/>
    <w:rsid w:val="00695D6E"/>
    <w:rsid w:val="00696438"/>
    <w:rsid w:val="006967D7"/>
    <w:rsid w:val="00696A97"/>
    <w:rsid w:val="006976EA"/>
    <w:rsid w:val="00697A31"/>
    <w:rsid w:val="00697F6C"/>
    <w:rsid w:val="006A0932"/>
    <w:rsid w:val="006A1682"/>
    <w:rsid w:val="006A18E0"/>
    <w:rsid w:val="006A1B6D"/>
    <w:rsid w:val="006A23AE"/>
    <w:rsid w:val="006A23E8"/>
    <w:rsid w:val="006A25B6"/>
    <w:rsid w:val="006A3203"/>
    <w:rsid w:val="006A3DDC"/>
    <w:rsid w:val="006A3E10"/>
    <w:rsid w:val="006A41FB"/>
    <w:rsid w:val="006A4486"/>
    <w:rsid w:val="006A46A6"/>
    <w:rsid w:val="006A48A6"/>
    <w:rsid w:val="006A4CF9"/>
    <w:rsid w:val="006A565D"/>
    <w:rsid w:val="006A5AD1"/>
    <w:rsid w:val="006A5E65"/>
    <w:rsid w:val="006A5EF6"/>
    <w:rsid w:val="006A6516"/>
    <w:rsid w:val="006A653E"/>
    <w:rsid w:val="006A6F16"/>
    <w:rsid w:val="006A7284"/>
    <w:rsid w:val="006A788D"/>
    <w:rsid w:val="006B1A52"/>
    <w:rsid w:val="006B2B8D"/>
    <w:rsid w:val="006B33F9"/>
    <w:rsid w:val="006B3CFB"/>
    <w:rsid w:val="006B41F7"/>
    <w:rsid w:val="006B4E87"/>
    <w:rsid w:val="006B5629"/>
    <w:rsid w:val="006B5A43"/>
    <w:rsid w:val="006B5D1D"/>
    <w:rsid w:val="006B6236"/>
    <w:rsid w:val="006B70AA"/>
    <w:rsid w:val="006B777D"/>
    <w:rsid w:val="006B7C77"/>
    <w:rsid w:val="006B7EF7"/>
    <w:rsid w:val="006C0B69"/>
    <w:rsid w:val="006C0DEA"/>
    <w:rsid w:val="006C0F59"/>
    <w:rsid w:val="006C1397"/>
    <w:rsid w:val="006C2574"/>
    <w:rsid w:val="006C3259"/>
    <w:rsid w:val="006C3352"/>
    <w:rsid w:val="006C374C"/>
    <w:rsid w:val="006C39DE"/>
    <w:rsid w:val="006C3B11"/>
    <w:rsid w:val="006C400A"/>
    <w:rsid w:val="006C6204"/>
    <w:rsid w:val="006C65B3"/>
    <w:rsid w:val="006C765F"/>
    <w:rsid w:val="006D035C"/>
    <w:rsid w:val="006D0570"/>
    <w:rsid w:val="006D0D80"/>
    <w:rsid w:val="006D159A"/>
    <w:rsid w:val="006D1F1B"/>
    <w:rsid w:val="006D481A"/>
    <w:rsid w:val="006D4CBA"/>
    <w:rsid w:val="006D4EDA"/>
    <w:rsid w:val="006D5075"/>
    <w:rsid w:val="006D5637"/>
    <w:rsid w:val="006D681F"/>
    <w:rsid w:val="006D72FF"/>
    <w:rsid w:val="006D75C9"/>
    <w:rsid w:val="006D794A"/>
    <w:rsid w:val="006E07E6"/>
    <w:rsid w:val="006E38AF"/>
    <w:rsid w:val="006E4A41"/>
    <w:rsid w:val="006E69ED"/>
    <w:rsid w:val="006E6DFF"/>
    <w:rsid w:val="006E748B"/>
    <w:rsid w:val="006E7D3D"/>
    <w:rsid w:val="006E7F20"/>
    <w:rsid w:val="006F21E4"/>
    <w:rsid w:val="006F2940"/>
    <w:rsid w:val="006F3BFA"/>
    <w:rsid w:val="006F5802"/>
    <w:rsid w:val="006F7F93"/>
    <w:rsid w:val="00700044"/>
    <w:rsid w:val="00700369"/>
    <w:rsid w:val="00700467"/>
    <w:rsid w:val="00701808"/>
    <w:rsid w:val="00703C11"/>
    <w:rsid w:val="00704BE9"/>
    <w:rsid w:val="00705426"/>
    <w:rsid w:val="007057D1"/>
    <w:rsid w:val="00707A88"/>
    <w:rsid w:val="007107CB"/>
    <w:rsid w:val="00710AEC"/>
    <w:rsid w:val="00711A35"/>
    <w:rsid w:val="007127A4"/>
    <w:rsid w:val="007132F3"/>
    <w:rsid w:val="00713422"/>
    <w:rsid w:val="00714661"/>
    <w:rsid w:val="00714717"/>
    <w:rsid w:val="007158CE"/>
    <w:rsid w:val="00716004"/>
    <w:rsid w:val="00716599"/>
    <w:rsid w:val="007165EB"/>
    <w:rsid w:val="0071669A"/>
    <w:rsid w:val="00717031"/>
    <w:rsid w:val="007175A9"/>
    <w:rsid w:val="00717A62"/>
    <w:rsid w:val="0072062E"/>
    <w:rsid w:val="007216D6"/>
    <w:rsid w:val="0072200B"/>
    <w:rsid w:val="007224D2"/>
    <w:rsid w:val="00722745"/>
    <w:rsid w:val="00724C33"/>
    <w:rsid w:val="007251C3"/>
    <w:rsid w:val="00725330"/>
    <w:rsid w:val="007257F3"/>
    <w:rsid w:val="00725CDC"/>
    <w:rsid w:val="007261AB"/>
    <w:rsid w:val="00726A18"/>
    <w:rsid w:val="00727E60"/>
    <w:rsid w:val="007302E3"/>
    <w:rsid w:val="00730568"/>
    <w:rsid w:val="00731057"/>
    <w:rsid w:val="0073118E"/>
    <w:rsid w:val="0073188E"/>
    <w:rsid w:val="00732FC1"/>
    <w:rsid w:val="00733442"/>
    <w:rsid w:val="007337DE"/>
    <w:rsid w:val="007341DD"/>
    <w:rsid w:val="00734C3D"/>
    <w:rsid w:val="007354D0"/>
    <w:rsid w:val="00735B20"/>
    <w:rsid w:val="007362B3"/>
    <w:rsid w:val="007378AA"/>
    <w:rsid w:val="00737C05"/>
    <w:rsid w:val="00737E97"/>
    <w:rsid w:val="0074151F"/>
    <w:rsid w:val="00742D78"/>
    <w:rsid w:val="0074405D"/>
    <w:rsid w:val="00744C8F"/>
    <w:rsid w:val="0074502F"/>
    <w:rsid w:val="007453FA"/>
    <w:rsid w:val="0074798C"/>
    <w:rsid w:val="00750655"/>
    <w:rsid w:val="00750D86"/>
    <w:rsid w:val="007513CD"/>
    <w:rsid w:val="0075281D"/>
    <w:rsid w:val="0075286E"/>
    <w:rsid w:val="00753691"/>
    <w:rsid w:val="00753D2D"/>
    <w:rsid w:val="00754146"/>
    <w:rsid w:val="00754A09"/>
    <w:rsid w:val="007553D3"/>
    <w:rsid w:val="00755509"/>
    <w:rsid w:val="00755735"/>
    <w:rsid w:val="007567CF"/>
    <w:rsid w:val="0075709D"/>
    <w:rsid w:val="00757969"/>
    <w:rsid w:val="007579BD"/>
    <w:rsid w:val="007608A4"/>
    <w:rsid w:val="00760CF5"/>
    <w:rsid w:val="007617EA"/>
    <w:rsid w:val="00762206"/>
    <w:rsid w:val="00762208"/>
    <w:rsid w:val="00762878"/>
    <w:rsid w:val="007637A6"/>
    <w:rsid w:val="007644DA"/>
    <w:rsid w:val="007652A5"/>
    <w:rsid w:val="007653A8"/>
    <w:rsid w:val="007664B6"/>
    <w:rsid w:val="007718BE"/>
    <w:rsid w:val="007718DB"/>
    <w:rsid w:val="00772C4E"/>
    <w:rsid w:val="00772D80"/>
    <w:rsid w:val="00772DD6"/>
    <w:rsid w:val="00772EF9"/>
    <w:rsid w:val="00773729"/>
    <w:rsid w:val="00773B97"/>
    <w:rsid w:val="00773D70"/>
    <w:rsid w:val="00773FC7"/>
    <w:rsid w:val="00774961"/>
    <w:rsid w:val="00775B0F"/>
    <w:rsid w:val="00775B22"/>
    <w:rsid w:val="0077616F"/>
    <w:rsid w:val="00776AD6"/>
    <w:rsid w:val="00777127"/>
    <w:rsid w:val="00777BA8"/>
    <w:rsid w:val="007808FD"/>
    <w:rsid w:val="00781422"/>
    <w:rsid w:val="007817EB"/>
    <w:rsid w:val="00782397"/>
    <w:rsid w:val="007824A1"/>
    <w:rsid w:val="007829D7"/>
    <w:rsid w:val="00783002"/>
    <w:rsid w:val="007837DC"/>
    <w:rsid w:val="0078399F"/>
    <w:rsid w:val="00783DA8"/>
    <w:rsid w:val="0078425D"/>
    <w:rsid w:val="00785A72"/>
    <w:rsid w:val="00787189"/>
    <w:rsid w:val="00787190"/>
    <w:rsid w:val="0078720B"/>
    <w:rsid w:val="0078737D"/>
    <w:rsid w:val="007873DD"/>
    <w:rsid w:val="00790BFF"/>
    <w:rsid w:val="00790C38"/>
    <w:rsid w:val="00790DE6"/>
    <w:rsid w:val="00791DA6"/>
    <w:rsid w:val="00791FE3"/>
    <w:rsid w:val="007924A0"/>
    <w:rsid w:val="007924F2"/>
    <w:rsid w:val="007932DE"/>
    <w:rsid w:val="007937C4"/>
    <w:rsid w:val="007938B8"/>
    <w:rsid w:val="00793BD2"/>
    <w:rsid w:val="00793C03"/>
    <w:rsid w:val="00793EC7"/>
    <w:rsid w:val="00793EE7"/>
    <w:rsid w:val="00794CCB"/>
    <w:rsid w:val="0079512E"/>
    <w:rsid w:val="0079519D"/>
    <w:rsid w:val="007956A4"/>
    <w:rsid w:val="00795E30"/>
    <w:rsid w:val="00796E0C"/>
    <w:rsid w:val="0079751A"/>
    <w:rsid w:val="007A0720"/>
    <w:rsid w:val="007A0DC5"/>
    <w:rsid w:val="007A10CD"/>
    <w:rsid w:val="007A11F5"/>
    <w:rsid w:val="007A17BB"/>
    <w:rsid w:val="007A17FC"/>
    <w:rsid w:val="007A19D8"/>
    <w:rsid w:val="007A1E58"/>
    <w:rsid w:val="007A1F3A"/>
    <w:rsid w:val="007A3150"/>
    <w:rsid w:val="007A3282"/>
    <w:rsid w:val="007A3A5C"/>
    <w:rsid w:val="007A3DFC"/>
    <w:rsid w:val="007A5D89"/>
    <w:rsid w:val="007A5F6A"/>
    <w:rsid w:val="007A5F81"/>
    <w:rsid w:val="007A61E8"/>
    <w:rsid w:val="007A6C30"/>
    <w:rsid w:val="007A72B5"/>
    <w:rsid w:val="007B02A9"/>
    <w:rsid w:val="007B0AD9"/>
    <w:rsid w:val="007B145E"/>
    <w:rsid w:val="007B1626"/>
    <w:rsid w:val="007B237A"/>
    <w:rsid w:val="007B277A"/>
    <w:rsid w:val="007B2AC6"/>
    <w:rsid w:val="007B3427"/>
    <w:rsid w:val="007B3567"/>
    <w:rsid w:val="007B3920"/>
    <w:rsid w:val="007B3E0C"/>
    <w:rsid w:val="007B4223"/>
    <w:rsid w:val="007B43AC"/>
    <w:rsid w:val="007B44AC"/>
    <w:rsid w:val="007B4666"/>
    <w:rsid w:val="007B4943"/>
    <w:rsid w:val="007B4A71"/>
    <w:rsid w:val="007B5028"/>
    <w:rsid w:val="007B62B8"/>
    <w:rsid w:val="007B6563"/>
    <w:rsid w:val="007B65AF"/>
    <w:rsid w:val="007B7658"/>
    <w:rsid w:val="007B7BF3"/>
    <w:rsid w:val="007C0350"/>
    <w:rsid w:val="007C0AF6"/>
    <w:rsid w:val="007C0F42"/>
    <w:rsid w:val="007C1083"/>
    <w:rsid w:val="007C1874"/>
    <w:rsid w:val="007C2339"/>
    <w:rsid w:val="007C235B"/>
    <w:rsid w:val="007C247F"/>
    <w:rsid w:val="007C28D0"/>
    <w:rsid w:val="007C293F"/>
    <w:rsid w:val="007C29DD"/>
    <w:rsid w:val="007C2DA0"/>
    <w:rsid w:val="007C30DB"/>
    <w:rsid w:val="007C3352"/>
    <w:rsid w:val="007C39C5"/>
    <w:rsid w:val="007C5065"/>
    <w:rsid w:val="007C5115"/>
    <w:rsid w:val="007C5BBB"/>
    <w:rsid w:val="007C65F0"/>
    <w:rsid w:val="007C7C54"/>
    <w:rsid w:val="007D0248"/>
    <w:rsid w:val="007D1407"/>
    <w:rsid w:val="007D20CD"/>
    <w:rsid w:val="007D2C81"/>
    <w:rsid w:val="007D4291"/>
    <w:rsid w:val="007D4DE5"/>
    <w:rsid w:val="007D4DFF"/>
    <w:rsid w:val="007D70AC"/>
    <w:rsid w:val="007D7C35"/>
    <w:rsid w:val="007E0D95"/>
    <w:rsid w:val="007E10D0"/>
    <w:rsid w:val="007E1E6E"/>
    <w:rsid w:val="007E2583"/>
    <w:rsid w:val="007E2EE2"/>
    <w:rsid w:val="007E412A"/>
    <w:rsid w:val="007E4686"/>
    <w:rsid w:val="007E4B44"/>
    <w:rsid w:val="007E5228"/>
    <w:rsid w:val="007E586B"/>
    <w:rsid w:val="007E58E3"/>
    <w:rsid w:val="007E5905"/>
    <w:rsid w:val="007E5F44"/>
    <w:rsid w:val="007E5F5B"/>
    <w:rsid w:val="007E6496"/>
    <w:rsid w:val="007E6791"/>
    <w:rsid w:val="007E6BDA"/>
    <w:rsid w:val="007E70B0"/>
    <w:rsid w:val="007E7420"/>
    <w:rsid w:val="007E7460"/>
    <w:rsid w:val="007E79AB"/>
    <w:rsid w:val="007E7C82"/>
    <w:rsid w:val="007F0FDA"/>
    <w:rsid w:val="007F1194"/>
    <w:rsid w:val="007F19D4"/>
    <w:rsid w:val="007F2C78"/>
    <w:rsid w:val="007F31AB"/>
    <w:rsid w:val="007F3975"/>
    <w:rsid w:val="007F3989"/>
    <w:rsid w:val="007F3C91"/>
    <w:rsid w:val="007F49DE"/>
    <w:rsid w:val="007F4FA1"/>
    <w:rsid w:val="007F5088"/>
    <w:rsid w:val="007F519A"/>
    <w:rsid w:val="007F5279"/>
    <w:rsid w:val="007F5FE6"/>
    <w:rsid w:val="007F615B"/>
    <w:rsid w:val="007F680A"/>
    <w:rsid w:val="007F6F7F"/>
    <w:rsid w:val="007F74F2"/>
    <w:rsid w:val="007F799F"/>
    <w:rsid w:val="00800D0C"/>
    <w:rsid w:val="00800EE2"/>
    <w:rsid w:val="0080107D"/>
    <w:rsid w:val="008015F7"/>
    <w:rsid w:val="00801679"/>
    <w:rsid w:val="00801739"/>
    <w:rsid w:val="00801B6E"/>
    <w:rsid w:val="00802401"/>
    <w:rsid w:val="008042CC"/>
    <w:rsid w:val="008047E5"/>
    <w:rsid w:val="00804888"/>
    <w:rsid w:val="00804ADF"/>
    <w:rsid w:val="008050A8"/>
    <w:rsid w:val="0080534A"/>
    <w:rsid w:val="008068D1"/>
    <w:rsid w:val="0081178A"/>
    <w:rsid w:val="00811D5A"/>
    <w:rsid w:val="0081273A"/>
    <w:rsid w:val="00812A03"/>
    <w:rsid w:val="00812AC3"/>
    <w:rsid w:val="00812C74"/>
    <w:rsid w:val="0081374D"/>
    <w:rsid w:val="00813B73"/>
    <w:rsid w:val="00814496"/>
    <w:rsid w:val="008147B8"/>
    <w:rsid w:val="00815480"/>
    <w:rsid w:val="00815643"/>
    <w:rsid w:val="00815D1E"/>
    <w:rsid w:val="00815FB7"/>
    <w:rsid w:val="00816298"/>
    <w:rsid w:val="008162C1"/>
    <w:rsid w:val="0081647B"/>
    <w:rsid w:val="008167C7"/>
    <w:rsid w:val="00817090"/>
    <w:rsid w:val="00817B15"/>
    <w:rsid w:val="0082056A"/>
    <w:rsid w:val="00820ABE"/>
    <w:rsid w:val="00820C88"/>
    <w:rsid w:val="008212D4"/>
    <w:rsid w:val="00821D93"/>
    <w:rsid w:val="00821E90"/>
    <w:rsid w:val="00823ACE"/>
    <w:rsid w:val="00824337"/>
    <w:rsid w:val="0082477F"/>
    <w:rsid w:val="008254A2"/>
    <w:rsid w:val="0082557B"/>
    <w:rsid w:val="00825FA3"/>
    <w:rsid w:val="00826C17"/>
    <w:rsid w:val="0082779F"/>
    <w:rsid w:val="008278FA"/>
    <w:rsid w:val="00830177"/>
    <w:rsid w:val="00830555"/>
    <w:rsid w:val="0083082B"/>
    <w:rsid w:val="00830B3E"/>
    <w:rsid w:val="00831148"/>
    <w:rsid w:val="00831686"/>
    <w:rsid w:val="00831CF1"/>
    <w:rsid w:val="00832716"/>
    <w:rsid w:val="008329DD"/>
    <w:rsid w:val="00832EDD"/>
    <w:rsid w:val="0083332D"/>
    <w:rsid w:val="00834B04"/>
    <w:rsid w:val="00834B09"/>
    <w:rsid w:val="00834DC1"/>
    <w:rsid w:val="0083527E"/>
    <w:rsid w:val="00835CAA"/>
    <w:rsid w:val="0083797D"/>
    <w:rsid w:val="00837AE4"/>
    <w:rsid w:val="00837C95"/>
    <w:rsid w:val="00837D37"/>
    <w:rsid w:val="00840888"/>
    <w:rsid w:val="00840933"/>
    <w:rsid w:val="00840E6B"/>
    <w:rsid w:val="00840E83"/>
    <w:rsid w:val="008427A8"/>
    <w:rsid w:val="00842E69"/>
    <w:rsid w:val="0084344B"/>
    <w:rsid w:val="00843536"/>
    <w:rsid w:val="00844298"/>
    <w:rsid w:val="00845F3F"/>
    <w:rsid w:val="008460C4"/>
    <w:rsid w:val="0084651F"/>
    <w:rsid w:val="00846D58"/>
    <w:rsid w:val="008476C1"/>
    <w:rsid w:val="00852DBA"/>
    <w:rsid w:val="00853ABA"/>
    <w:rsid w:val="00853EB4"/>
    <w:rsid w:val="00853FC8"/>
    <w:rsid w:val="008544B2"/>
    <w:rsid w:val="008546FB"/>
    <w:rsid w:val="0085534D"/>
    <w:rsid w:val="008554BB"/>
    <w:rsid w:val="00855533"/>
    <w:rsid w:val="0085568F"/>
    <w:rsid w:val="00855C3C"/>
    <w:rsid w:val="0085742E"/>
    <w:rsid w:val="0085743F"/>
    <w:rsid w:val="00857534"/>
    <w:rsid w:val="00857911"/>
    <w:rsid w:val="00860AC6"/>
    <w:rsid w:val="0086146D"/>
    <w:rsid w:val="008617D9"/>
    <w:rsid w:val="00862003"/>
    <w:rsid w:val="0086266C"/>
    <w:rsid w:val="00862E15"/>
    <w:rsid w:val="008631E2"/>
    <w:rsid w:val="00863C78"/>
    <w:rsid w:val="008644AF"/>
    <w:rsid w:val="008657E3"/>
    <w:rsid w:val="00865888"/>
    <w:rsid w:val="00866029"/>
    <w:rsid w:val="0086616D"/>
    <w:rsid w:val="00866DD2"/>
    <w:rsid w:val="00867436"/>
    <w:rsid w:val="008675C1"/>
    <w:rsid w:val="008702E6"/>
    <w:rsid w:val="00870F11"/>
    <w:rsid w:val="00871702"/>
    <w:rsid w:val="00871FC0"/>
    <w:rsid w:val="0087222C"/>
    <w:rsid w:val="0087236C"/>
    <w:rsid w:val="00874673"/>
    <w:rsid w:val="00877CB0"/>
    <w:rsid w:val="00880F8D"/>
    <w:rsid w:val="0088208A"/>
    <w:rsid w:val="0088234C"/>
    <w:rsid w:val="008825AC"/>
    <w:rsid w:val="00882730"/>
    <w:rsid w:val="008839EF"/>
    <w:rsid w:val="00884F52"/>
    <w:rsid w:val="008860EA"/>
    <w:rsid w:val="008867AC"/>
    <w:rsid w:val="00886EF6"/>
    <w:rsid w:val="00886F76"/>
    <w:rsid w:val="008870CD"/>
    <w:rsid w:val="0088752B"/>
    <w:rsid w:val="00887814"/>
    <w:rsid w:val="00890048"/>
    <w:rsid w:val="00890855"/>
    <w:rsid w:val="00890F15"/>
    <w:rsid w:val="008914A9"/>
    <w:rsid w:val="008926AA"/>
    <w:rsid w:val="0089414E"/>
    <w:rsid w:val="00894350"/>
    <w:rsid w:val="00894F0F"/>
    <w:rsid w:val="00896033"/>
    <w:rsid w:val="008974F2"/>
    <w:rsid w:val="0089773D"/>
    <w:rsid w:val="00897FC8"/>
    <w:rsid w:val="008A06A5"/>
    <w:rsid w:val="008A15BF"/>
    <w:rsid w:val="008A22D6"/>
    <w:rsid w:val="008A2CB2"/>
    <w:rsid w:val="008A3548"/>
    <w:rsid w:val="008A4081"/>
    <w:rsid w:val="008A5DFD"/>
    <w:rsid w:val="008A705F"/>
    <w:rsid w:val="008A7869"/>
    <w:rsid w:val="008A786D"/>
    <w:rsid w:val="008A791F"/>
    <w:rsid w:val="008B0191"/>
    <w:rsid w:val="008B02A1"/>
    <w:rsid w:val="008B0A1D"/>
    <w:rsid w:val="008B1137"/>
    <w:rsid w:val="008B1967"/>
    <w:rsid w:val="008B2178"/>
    <w:rsid w:val="008B2E1E"/>
    <w:rsid w:val="008B35DC"/>
    <w:rsid w:val="008B4531"/>
    <w:rsid w:val="008B58FE"/>
    <w:rsid w:val="008B59BA"/>
    <w:rsid w:val="008B6353"/>
    <w:rsid w:val="008B6ACB"/>
    <w:rsid w:val="008B70A5"/>
    <w:rsid w:val="008B74C1"/>
    <w:rsid w:val="008B7B3F"/>
    <w:rsid w:val="008C0A27"/>
    <w:rsid w:val="008C0D05"/>
    <w:rsid w:val="008C100D"/>
    <w:rsid w:val="008C1B27"/>
    <w:rsid w:val="008C1C66"/>
    <w:rsid w:val="008C386A"/>
    <w:rsid w:val="008C3B5D"/>
    <w:rsid w:val="008C4D7F"/>
    <w:rsid w:val="008C540B"/>
    <w:rsid w:val="008C5DFC"/>
    <w:rsid w:val="008C5FE4"/>
    <w:rsid w:val="008C6427"/>
    <w:rsid w:val="008C6590"/>
    <w:rsid w:val="008C6FFD"/>
    <w:rsid w:val="008C7D11"/>
    <w:rsid w:val="008D14E7"/>
    <w:rsid w:val="008D1689"/>
    <w:rsid w:val="008D1B4A"/>
    <w:rsid w:val="008D1EE3"/>
    <w:rsid w:val="008D2CAC"/>
    <w:rsid w:val="008D3600"/>
    <w:rsid w:val="008D38D2"/>
    <w:rsid w:val="008D38DA"/>
    <w:rsid w:val="008D4601"/>
    <w:rsid w:val="008D4D57"/>
    <w:rsid w:val="008D509B"/>
    <w:rsid w:val="008D642B"/>
    <w:rsid w:val="008D649F"/>
    <w:rsid w:val="008D6CD6"/>
    <w:rsid w:val="008D6EE3"/>
    <w:rsid w:val="008D7251"/>
    <w:rsid w:val="008D78B4"/>
    <w:rsid w:val="008E11A9"/>
    <w:rsid w:val="008E1784"/>
    <w:rsid w:val="008E1F67"/>
    <w:rsid w:val="008E20C7"/>
    <w:rsid w:val="008E2DD6"/>
    <w:rsid w:val="008E323D"/>
    <w:rsid w:val="008E3AB0"/>
    <w:rsid w:val="008E52CF"/>
    <w:rsid w:val="008E7A05"/>
    <w:rsid w:val="008F029E"/>
    <w:rsid w:val="008F02CF"/>
    <w:rsid w:val="008F0819"/>
    <w:rsid w:val="008F084C"/>
    <w:rsid w:val="008F2043"/>
    <w:rsid w:val="008F2E93"/>
    <w:rsid w:val="008F35EE"/>
    <w:rsid w:val="008F39AE"/>
    <w:rsid w:val="008F4101"/>
    <w:rsid w:val="008F4558"/>
    <w:rsid w:val="008F4ADC"/>
    <w:rsid w:val="008F4ECD"/>
    <w:rsid w:val="008F55C3"/>
    <w:rsid w:val="008F618E"/>
    <w:rsid w:val="008F6F30"/>
    <w:rsid w:val="008F7486"/>
    <w:rsid w:val="008F7898"/>
    <w:rsid w:val="008F78A3"/>
    <w:rsid w:val="0090040A"/>
    <w:rsid w:val="0090057D"/>
    <w:rsid w:val="00900EDB"/>
    <w:rsid w:val="00901297"/>
    <w:rsid w:val="009026E5"/>
    <w:rsid w:val="009033DC"/>
    <w:rsid w:val="009034D2"/>
    <w:rsid w:val="009034E0"/>
    <w:rsid w:val="00903D29"/>
    <w:rsid w:val="00904268"/>
    <w:rsid w:val="00904FE3"/>
    <w:rsid w:val="009055A0"/>
    <w:rsid w:val="00905779"/>
    <w:rsid w:val="00905C0B"/>
    <w:rsid w:val="009065D6"/>
    <w:rsid w:val="00907A27"/>
    <w:rsid w:val="00910F8F"/>
    <w:rsid w:val="009118D9"/>
    <w:rsid w:val="009127D2"/>
    <w:rsid w:val="00912DEE"/>
    <w:rsid w:val="00912F85"/>
    <w:rsid w:val="0091301E"/>
    <w:rsid w:val="0091393C"/>
    <w:rsid w:val="00913D18"/>
    <w:rsid w:val="00914141"/>
    <w:rsid w:val="009148B2"/>
    <w:rsid w:val="009149EF"/>
    <w:rsid w:val="00914F26"/>
    <w:rsid w:val="009152BC"/>
    <w:rsid w:val="00915BBD"/>
    <w:rsid w:val="00915CE3"/>
    <w:rsid w:val="00916999"/>
    <w:rsid w:val="00920134"/>
    <w:rsid w:val="009206DF"/>
    <w:rsid w:val="009217B0"/>
    <w:rsid w:val="00921CD1"/>
    <w:rsid w:val="00921D24"/>
    <w:rsid w:val="0092246F"/>
    <w:rsid w:val="00922E05"/>
    <w:rsid w:val="00922E8C"/>
    <w:rsid w:val="00923051"/>
    <w:rsid w:val="00923289"/>
    <w:rsid w:val="00923C45"/>
    <w:rsid w:val="00924E8F"/>
    <w:rsid w:val="00925250"/>
    <w:rsid w:val="009254FE"/>
    <w:rsid w:val="009259BB"/>
    <w:rsid w:val="00925B46"/>
    <w:rsid w:val="00927A84"/>
    <w:rsid w:val="00927B88"/>
    <w:rsid w:val="0093075E"/>
    <w:rsid w:val="00930812"/>
    <w:rsid w:val="009314AB"/>
    <w:rsid w:val="00931D34"/>
    <w:rsid w:val="00931E1B"/>
    <w:rsid w:val="00932849"/>
    <w:rsid w:val="00932B55"/>
    <w:rsid w:val="00932D9C"/>
    <w:rsid w:val="009335B8"/>
    <w:rsid w:val="00933A3A"/>
    <w:rsid w:val="00933B52"/>
    <w:rsid w:val="0093490A"/>
    <w:rsid w:val="00936756"/>
    <w:rsid w:val="00936AA0"/>
    <w:rsid w:val="00937DB8"/>
    <w:rsid w:val="00940D61"/>
    <w:rsid w:val="00940DEE"/>
    <w:rsid w:val="00941710"/>
    <w:rsid w:val="00941EDA"/>
    <w:rsid w:val="009420DB"/>
    <w:rsid w:val="00942222"/>
    <w:rsid w:val="009435B3"/>
    <w:rsid w:val="00943E6A"/>
    <w:rsid w:val="00943EF6"/>
    <w:rsid w:val="00944672"/>
    <w:rsid w:val="00945476"/>
    <w:rsid w:val="00945695"/>
    <w:rsid w:val="00951EB9"/>
    <w:rsid w:val="00952524"/>
    <w:rsid w:val="00952B3A"/>
    <w:rsid w:val="009536D0"/>
    <w:rsid w:val="009549FF"/>
    <w:rsid w:val="00954A22"/>
    <w:rsid w:val="00954F18"/>
    <w:rsid w:val="009555D3"/>
    <w:rsid w:val="00955ABA"/>
    <w:rsid w:val="00955C08"/>
    <w:rsid w:val="00955E17"/>
    <w:rsid w:val="00956749"/>
    <w:rsid w:val="00956C77"/>
    <w:rsid w:val="00956E0E"/>
    <w:rsid w:val="009571D8"/>
    <w:rsid w:val="00957C8C"/>
    <w:rsid w:val="00960345"/>
    <w:rsid w:val="00960389"/>
    <w:rsid w:val="00962036"/>
    <w:rsid w:val="009622FA"/>
    <w:rsid w:val="00962AA3"/>
    <w:rsid w:val="00962D08"/>
    <w:rsid w:val="00963359"/>
    <w:rsid w:val="00964862"/>
    <w:rsid w:val="0096507D"/>
    <w:rsid w:val="00965243"/>
    <w:rsid w:val="009661CB"/>
    <w:rsid w:val="00966844"/>
    <w:rsid w:val="00966AE3"/>
    <w:rsid w:val="00967D15"/>
    <w:rsid w:val="00967F1E"/>
    <w:rsid w:val="00970B68"/>
    <w:rsid w:val="00970DA1"/>
    <w:rsid w:val="0097192B"/>
    <w:rsid w:val="009731F6"/>
    <w:rsid w:val="009738EB"/>
    <w:rsid w:val="00973A06"/>
    <w:rsid w:val="00973D31"/>
    <w:rsid w:val="0097486B"/>
    <w:rsid w:val="0097548B"/>
    <w:rsid w:val="00975AF0"/>
    <w:rsid w:val="009765CA"/>
    <w:rsid w:val="009769BC"/>
    <w:rsid w:val="00976C31"/>
    <w:rsid w:val="009770DF"/>
    <w:rsid w:val="00981091"/>
    <w:rsid w:val="00981B02"/>
    <w:rsid w:val="00982908"/>
    <w:rsid w:val="00983A0E"/>
    <w:rsid w:val="00984F9D"/>
    <w:rsid w:val="00987CB2"/>
    <w:rsid w:val="0099085C"/>
    <w:rsid w:val="0099088E"/>
    <w:rsid w:val="00990BFD"/>
    <w:rsid w:val="00991025"/>
    <w:rsid w:val="0099165D"/>
    <w:rsid w:val="00991CBA"/>
    <w:rsid w:val="00991F78"/>
    <w:rsid w:val="0099213C"/>
    <w:rsid w:val="0099225F"/>
    <w:rsid w:val="00993610"/>
    <w:rsid w:val="00994A33"/>
    <w:rsid w:val="00994E60"/>
    <w:rsid w:val="0099514B"/>
    <w:rsid w:val="00995582"/>
    <w:rsid w:val="009966F6"/>
    <w:rsid w:val="009969DE"/>
    <w:rsid w:val="00996DD6"/>
    <w:rsid w:val="00996DF0"/>
    <w:rsid w:val="00997A96"/>
    <w:rsid w:val="00997D33"/>
    <w:rsid w:val="00997F2A"/>
    <w:rsid w:val="009A29EC"/>
    <w:rsid w:val="009A3535"/>
    <w:rsid w:val="009A3EA4"/>
    <w:rsid w:val="009A4A63"/>
    <w:rsid w:val="009A4CE1"/>
    <w:rsid w:val="009A4CEC"/>
    <w:rsid w:val="009A4D32"/>
    <w:rsid w:val="009A63D4"/>
    <w:rsid w:val="009A660A"/>
    <w:rsid w:val="009A6ADE"/>
    <w:rsid w:val="009A7299"/>
    <w:rsid w:val="009A7A3E"/>
    <w:rsid w:val="009A7CA9"/>
    <w:rsid w:val="009B0ACB"/>
    <w:rsid w:val="009B1A25"/>
    <w:rsid w:val="009B2234"/>
    <w:rsid w:val="009B24B5"/>
    <w:rsid w:val="009B2930"/>
    <w:rsid w:val="009B3427"/>
    <w:rsid w:val="009B3980"/>
    <w:rsid w:val="009B4871"/>
    <w:rsid w:val="009B48E3"/>
    <w:rsid w:val="009B5034"/>
    <w:rsid w:val="009B586E"/>
    <w:rsid w:val="009B5C0B"/>
    <w:rsid w:val="009B5F20"/>
    <w:rsid w:val="009B6389"/>
    <w:rsid w:val="009B64D7"/>
    <w:rsid w:val="009B64D8"/>
    <w:rsid w:val="009B651A"/>
    <w:rsid w:val="009C013E"/>
    <w:rsid w:val="009C0526"/>
    <w:rsid w:val="009C0965"/>
    <w:rsid w:val="009C0C5C"/>
    <w:rsid w:val="009C0DEB"/>
    <w:rsid w:val="009C1905"/>
    <w:rsid w:val="009C2C04"/>
    <w:rsid w:val="009C4CF1"/>
    <w:rsid w:val="009C59C9"/>
    <w:rsid w:val="009C5F76"/>
    <w:rsid w:val="009C6A02"/>
    <w:rsid w:val="009C759C"/>
    <w:rsid w:val="009C7AE5"/>
    <w:rsid w:val="009D0AAC"/>
    <w:rsid w:val="009D0B87"/>
    <w:rsid w:val="009D12AE"/>
    <w:rsid w:val="009D18FA"/>
    <w:rsid w:val="009D2047"/>
    <w:rsid w:val="009D25DC"/>
    <w:rsid w:val="009D33F5"/>
    <w:rsid w:val="009D382E"/>
    <w:rsid w:val="009D3FA0"/>
    <w:rsid w:val="009D3FEA"/>
    <w:rsid w:val="009D4227"/>
    <w:rsid w:val="009D43AD"/>
    <w:rsid w:val="009D4566"/>
    <w:rsid w:val="009D4EB2"/>
    <w:rsid w:val="009D54DE"/>
    <w:rsid w:val="009D5C11"/>
    <w:rsid w:val="009D660B"/>
    <w:rsid w:val="009D6ADB"/>
    <w:rsid w:val="009D7B86"/>
    <w:rsid w:val="009E043E"/>
    <w:rsid w:val="009E158E"/>
    <w:rsid w:val="009E1BF5"/>
    <w:rsid w:val="009E1F49"/>
    <w:rsid w:val="009E3679"/>
    <w:rsid w:val="009E3C1F"/>
    <w:rsid w:val="009E5B6F"/>
    <w:rsid w:val="009E6FB6"/>
    <w:rsid w:val="009E710D"/>
    <w:rsid w:val="009E7B0C"/>
    <w:rsid w:val="009E7CBB"/>
    <w:rsid w:val="009E7F1C"/>
    <w:rsid w:val="009F06A4"/>
    <w:rsid w:val="009F2421"/>
    <w:rsid w:val="009F288B"/>
    <w:rsid w:val="009F3899"/>
    <w:rsid w:val="009F4451"/>
    <w:rsid w:val="009F4480"/>
    <w:rsid w:val="009F4779"/>
    <w:rsid w:val="009F6074"/>
    <w:rsid w:val="009F6888"/>
    <w:rsid w:val="009F7A6D"/>
    <w:rsid w:val="00A00894"/>
    <w:rsid w:val="00A00A30"/>
    <w:rsid w:val="00A0175C"/>
    <w:rsid w:val="00A01886"/>
    <w:rsid w:val="00A01988"/>
    <w:rsid w:val="00A02099"/>
    <w:rsid w:val="00A02A56"/>
    <w:rsid w:val="00A04670"/>
    <w:rsid w:val="00A047E4"/>
    <w:rsid w:val="00A05E4C"/>
    <w:rsid w:val="00A05F28"/>
    <w:rsid w:val="00A06170"/>
    <w:rsid w:val="00A06F9D"/>
    <w:rsid w:val="00A07342"/>
    <w:rsid w:val="00A079E9"/>
    <w:rsid w:val="00A07F41"/>
    <w:rsid w:val="00A10022"/>
    <w:rsid w:val="00A1156A"/>
    <w:rsid w:val="00A11F8E"/>
    <w:rsid w:val="00A12B2D"/>
    <w:rsid w:val="00A14397"/>
    <w:rsid w:val="00A146D8"/>
    <w:rsid w:val="00A14FD3"/>
    <w:rsid w:val="00A159CB"/>
    <w:rsid w:val="00A15B01"/>
    <w:rsid w:val="00A16470"/>
    <w:rsid w:val="00A16AFB"/>
    <w:rsid w:val="00A17D42"/>
    <w:rsid w:val="00A206B4"/>
    <w:rsid w:val="00A21FE1"/>
    <w:rsid w:val="00A2271C"/>
    <w:rsid w:val="00A22BB8"/>
    <w:rsid w:val="00A23223"/>
    <w:rsid w:val="00A23717"/>
    <w:rsid w:val="00A24BCE"/>
    <w:rsid w:val="00A24D95"/>
    <w:rsid w:val="00A25B29"/>
    <w:rsid w:val="00A25EA2"/>
    <w:rsid w:val="00A26291"/>
    <w:rsid w:val="00A26640"/>
    <w:rsid w:val="00A26B53"/>
    <w:rsid w:val="00A27456"/>
    <w:rsid w:val="00A30E21"/>
    <w:rsid w:val="00A3146C"/>
    <w:rsid w:val="00A32274"/>
    <w:rsid w:val="00A3259B"/>
    <w:rsid w:val="00A32B31"/>
    <w:rsid w:val="00A32C8E"/>
    <w:rsid w:val="00A3342A"/>
    <w:rsid w:val="00A33C8F"/>
    <w:rsid w:val="00A3405E"/>
    <w:rsid w:val="00A3443A"/>
    <w:rsid w:val="00A34674"/>
    <w:rsid w:val="00A34A4C"/>
    <w:rsid w:val="00A36314"/>
    <w:rsid w:val="00A3633F"/>
    <w:rsid w:val="00A3698C"/>
    <w:rsid w:val="00A36E19"/>
    <w:rsid w:val="00A37377"/>
    <w:rsid w:val="00A376E8"/>
    <w:rsid w:val="00A41104"/>
    <w:rsid w:val="00A4190B"/>
    <w:rsid w:val="00A42352"/>
    <w:rsid w:val="00A42A43"/>
    <w:rsid w:val="00A43B08"/>
    <w:rsid w:val="00A442C0"/>
    <w:rsid w:val="00A445D0"/>
    <w:rsid w:val="00A4485B"/>
    <w:rsid w:val="00A44AB6"/>
    <w:rsid w:val="00A44C97"/>
    <w:rsid w:val="00A44FB5"/>
    <w:rsid w:val="00A4578B"/>
    <w:rsid w:val="00A505EB"/>
    <w:rsid w:val="00A51605"/>
    <w:rsid w:val="00A52B9C"/>
    <w:rsid w:val="00A52CA2"/>
    <w:rsid w:val="00A5322C"/>
    <w:rsid w:val="00A551B7"/>
    <w:rsid w:val="00A5568B"/>
    <w:rsid w:val="00A55C44"/>
    <w:rsid w:val="00A560B2"/>
    <w:rsid w:val="00A5655F"/>
    <w:rsid w:val="00A568FB"/>
    <w:rsid w:val="00A56905"/>
    <w:rsid w:val="00A56BF0"/>
    <w:rsid w:val="00A56DD2"/>
    <w:rsid w:val="00A57048"/>
    <w:rsid w:val="00A573CA"/>
    <w:rsid w:val="00A578F8"/>
    <w:rsid w:val="00A57944"/>
    <w:rsid w:val="00A6002A"/>
    <w:rsid w:val="00A601E1"/>
    <w:rsid w:val="00A60297"/>
    <w:rsid w:val="00A60A15"/>
    <w:rsid w:val="00A613CC"/>
    <w:rsid w:val="00A616BC"/>
    <w:rsid w:val="00A61A94"/>
    <w:rsid w:val="00A62D09"/>
    <w:rsid w:val="00A63473"/>
    <w:rsid w:val="00A63DF5"/>
    <w:rsid w:val="00A63FCF"/>
    <w:rsid w:val="00A67250"/>
    <w:rsid w:val="00A70974"/>
    <w:rsid w:val="00A7208D"/>
    <w:rsid w:val="00A72CD9"/>
    <w:rsid w:val="00A72DB6"/>
    <w:rsid w:val="00A73B26"/>
    <w:rsid w:val="00A73F20"/>
    <w:rsid w:val="00A74263"/>
    <w:rsid w:val="00A75FD7"/>
    <w:rsid w:val="00A7627E"/>
    <w:rsid w:val="00A76D77"/>
    <w:rsid w:val="00A77723"/>
    <w:rsid w:val="00A77857"/>
    <w:rsid w:val="00A77A11"/>
    <w:rsid w:val="00A80032"/>
    <w:rsid w:val="00A813FB"/>
    <w:rsid w:val="00A81616"/>
    <w:rsid w:val="00A82313"/>
    <w:rsid w:val="00A832BA"/>
    <w:rsid w:val="00A8392B"/>
    <w:rsid w:val="00A83FF1"/>
    <w:rsid w:val="00A84546"/>
    <w:rsid w:val="00A84773"/>
    <w:rsid w:val="00A84E57"/>
    <w:rsid w:val="00A856A0"/>
    <w:rsid w:val="00A85B24"/>
    <w:rsid w:val="00A85C52"/>
    <w:rsid w:val="00A86107"/>
    <w:rsid w:val="00A86DAB"/>
    <w:rsid w:val="00A8760B"/>
    <w:rsid w:val="00A917A6"/>
    <w:rsid w:val="00A91D2D"/>
    <w:rsid w:val="00A92A9E"/>
    <w:rsid w:val="00A937CF"/>
    <w:rsid w:val="00A94F47"/>
    <w:rsid w:val="00A95514"/>
    <w:rsid w:val="00A95F40"/>
    <w:rsid w:val="00A9644F"/>
    <w:rsid w:val="00A96C9D"/>
    <w:rsid w:val="00A9707C"/>
    <w:rsid w:val="00AA0949"/>
    <w:rsid w:val="00AA245C"/>
    <w:rsid w:val="00AA2B64"/>
    <w:rsid w:val="00AA2F4F"/>
    <w:rsid w:val="00AA415A"/>
    <w:rsid w:val="00AA4618"/>
    <w:rsid w:val="00AA4E98"/>
    <w:rsid w:val="00AA572A"/>
    <w:rsid w:val="00AA725D"/>
    <w:rsid w:val="00AA75E4"/>
    <w:rsid w:val="00AA7866"/>
    <w:rsid w:val="00AB00AB"/>
    <w:rsid w:val="00AB04FD"/>
    <w:rsid w:val="00AB0540"/>
    <w:rsid w:val="00AB1C6F"/>
    <w:rsid w:val="00AB2F98"/>
    <w:rsid w:val="00AB38A6"/>
    <w:rsid w:val="00AB3A62"/>
    <w:rsid w:val="00AB416A"/>
    <w:rsid w:val="00AB53CE"/>
    <w:rsid w:val="00AB5A60"/>
    <w:rsid w:val="00AB6089"/>
    <w:rsid w:val="00AB6B4F"/>
    <w:rsid w:val="00AB6B8C"/>
    <w:rsid w:val="00AB7EC0"/>
    <w:rsid w:val="00AC0B9D"/>
    <w:rsid w:val="00AC11BD"/>
    <w:rsid w:val="00AC23D1"/>
    <w:rsid w:val="00AC2998"/>
    <w:rsid w:val="00AC36AB"/>
    <w:rsid w:val="00AC37D9"/>
    <w:rsid w:val="00AC39D6"/>
    <w:rsid w:val="00AC3C2A"/>
    <w:rsid w:val="00AC4703"/>
    <w:rsid w:val="00AC4C3E"/>
    <w:rsid w:val="00AC4FEB"/>
    <w:rsid w:val="00AC504D"/>
    <w:rsid w:val="00AC588C"/>
    <w:rsid w:val="00AC6629"/>
    <w:rsid w:val="00AC7136"/>
    <w:rsid w:val="00AC7296"/>
    <w:rsid w:val="00AC7454"/>
    <w:rsid w:val="00AC76EA"/>
    <w:rsid w:val="00AC7814"/>
    <w:rsid w:val="00AD0534"/>
    <w:rsid w:val="00AD0C60"/>
    <w:rsid w:val="00AD1909"/>
    <w:rsid w:val="00AD1F94"/>
    <w:rsid w:val="00AD23F1"/>
    <w:rsid w:val="00AD2E67"/>
    <w:rsid w:val="00AD2FF1"/>
    <w:rsid w:val="00AD3223"/>
    <w:rsid w:val="00AD3C55"/>
    <w:rsid w:val="00AD4EFB"/>
    <w:rsid w:val="00AD504C"/>
    <w:rsid w:val="00AD5162"/>
    <w:rsid w:val="00AD5175"/>
    <w:rsid w:val="00AD5C87"/>
    <w:rsid w:val="00AD5FFB"/>
    <w:rsid w:val="00AD6873"/>
    <w:rsid w:val="00AD6E85"/>
    <w:rsid w:val="00AD74D6"/>
    <w:rsid w:val="00AD7AF4"/>
    <w:rsid w:val="00AE0024"/>
    <w:rsid w:val="00AE00A9"/>
    <w:rsid w:val="00AE0799"/>
    <w:rsid w:val="00AE0A6A"/>
    <w:rsid w:val="00AE14CF"/>
    <w:rsid w:val="00AE14E2"/>
    <w:rsid w:val="00AE33D9"/>
    <w:rsid w:val="00AE4A0E"/>
    <w:rsid w:val="00AE51D0"/>
    <w:rsid w:val="00AE69E1"/>
    <w:rsid w:val="00AE7901"/>
    <w:rsid w:val="00AE7A28"/>
    <w:rsid w:val="00AE7E9D"/>
    <w:rsid w:val="00AF003F"/>
    <w:rsid w:val="00AF0CCF"/>
    <w:rsid w:val="00AF240E"/>
    <w:rsid w:val="00AF3377"/>
    <w:rsid w:val="00AF3E8C"/>
    <w:rsid w:val="00AF430E"/>
    <w:rsid w:val="00AF4CC4"/>
    <w:rsid w:val="00AF5548"/>
    <w:rsid w:val="00AF67C7"/>
    <w:rsid w:val="00AF6A2E"/>
    <w:rsid w:val="00AF751C"/>
    <w:rsid w:val="00AF7813"/>
    <w:rsid w:val="00B0061A"/>
    <w:rsid w:val="00B00736"/>
    <w:rsid w:val="00B010E0"/>
    <w:rsid w:val="00B01408"/>
    <w:rsid w:val="00B024F7"/>
    <w:rsid w:val="00B02652"/>
    <w:rsid w:val="00B02838"/>
    <w:rsid w:val="00B02BE5"/>
    <w:rsid w:val="00B03125"/>
    <w:rsid w:val="00B03531"/>
    <w:rsid w:val="00B038DB"/>
    <w:rsid w:val="00B04123"/>
    <w:rsid w:val="00B0428D"/>
    <w:rsid w:val="00B05286"/>
    <w:rsid w:val="00B05E63"/>
    <w:rsid w:val="00B06021"/>
    <w:rsid w:val="00B07363"/>
    <w:rsid w:val="00B11051"/>
    <w:rsid w:val="00B11975"/>
    <w:rsid w:val="00B11BEF"/>
    <w:rsid w:val="00B13787"/>
    <w:rsid w:val="00B145A7"/>
    <w:rsid w:val="00B15531"/>
    <w:rsid w:val="00B15769"/>
    <w:rsid w:val="00B161FF"/>
    <w:rsid w:val="00B166D3"/>
    <w:rsid w:val="00B17338"/>
    <w:rsid w:val="00B17F05"/>
    <w:rsid w:val="00B20738"/>
    <w:rsid w:val="00B214B4"/>
    <w:rsid w:val="00B21FAD"/>
    <w:rsid w:val="00B23324"/>
    <w:rsid w:val="00B24DC4"/>
    <w:rsid w:val="00B25EC8"/>
    <w:rsid w:val="00B270C8"/>
    <w:rsid w:val="00B278A7"/>
    <w:rsid w:val="00B2792B"/>
    <w:rsid w:val="00B30496"/>
    <w:rsid w:val="00B31668"/>
    <w:rsid w:val="00B31E44"/>
    <w:rsid w:val="00B320B0"/>
    <w:rsid w:val="00B32529"/>
    <w:rsid w:val="00B32D02"/>
    <w:rsid w:val="00B34F4A"/>
    <w:rsid w:val="00B353C3"/>
    <w:rsid w:val="00B35AE8"/>
    <w:rsid w:val="00B371FE"/>
    <w:rsid w:val="00B374C5"/>
    <w:rsid w:val="00B4021A"/>
    <w:rsid w:val="00B40429"/>
    <w:rsid w:val="00B40A35"/>
    <w:rsid w:val="00B40C73"/>
    <w:rsid w:val="00B41571"/>
    <w:rsid w:val="00B41777"/>
    <w:rsid w:val="00B41E03"/>
    <w:rsid w:val="00B422B7"/>
    <w:rsid w:val="00B42A24"/>
    <w:rsid w:val="00B42C05"/>
    <w:rsid w:val="00B42F30"/>
    <w:rsid w:val="00B42F68"/>
    <w:rsid w:val="00B43819"/>
    <w:rsid w:val="00B44C89"/>
    <w:rsid w:val="00B45D23"/>
    <w:rsid w:val="00B4691C"/>
    <w:rsid w:val="00B469E1"/>
    <w:rsid w:val="00B501B9"/>
    <w:rsid w:val="00B50BE0"/>
    <w:rsid w:val="00B50E13"/>
    <w:rsid w:val="00B50FD4"/>
    <w:rsid w:val="00B51107"/>
    <w:rsid w:val="00B5167E"/>
    <w:rsid w:val="00B516EE"/>
    <w:rsid w:val="00B51A85"/>
    <w:rsid w:val="00B52D4F"/>
    <w:rsid w:val="00B5377C"/>
    <w:rsid w:val="00B53816"/>
    <w:rsid w:val="00B55428"/>
    <w:rsid w:val="00B5555E"/>
    <w:rsid w:val="00B555DE"/>
    <w:rsid w:val="00B56B16"/>
    <w:rsid w:val="00B56B5F"/>
    <w:rsid w:val="00B57B19"/>
    <w:rsid w:val="00B57DC8"/>
    <w:rsid w:val="00B60D97"/>
    <w:rsid w:val="00B60F4B"/>
    <w:rsid w:val="00B620A5"/>
    <w:rsid w:val="00B62103"/>
    <w:rsid w:val="00B62C1C"/>
    <w:rsid w:val="00B62C1D"/>
    <w:rsid w:val="00B62FB9"/>
    <w:rsid w:val="00B63753"/>
    <w:rsid w:val="00B638F5"/>
    <w:rsid w:val="00B63F21"/>
    <w:rsid w:val="00B644D6"/>
    <w:rsid w:val="00B65062"/>
    <w:rsid w:val="00B65B50"/>
    <w:rsid w:val="00B65BEA"/>
    <w:rsid w:val="00B65EC5"/>
    <w:rsid w:val="00B661EE"/>
    <w:rsid w:val="00B6638A"/>
    <w:rsid w:val="00B66871"/>
    <w:rsid w:val="00B66C61"/>
    <w:rsid w:val="00B66FF1"/>
    <w:rsid w:val="00B676EA"/>
    <w:rsid w:val="00B679DE"/>
    <w:rsid w:val="00B67F8B"/>
    <w:rsid w:val="00B70F41"/>
    <w:rsid w:val="00B71A73"/>
    <w:rsid w:val="00B721BA"/>
    <w:rsid w:val="00B722AA"/>
    <w:rsid w:val="00B724F0"/>
    <w:rsid w:val="00B726A3"/>
    <w:rsid w:val="00B7279D"/>
    <w:rsid w:val="00B72C92"/>
    <w:rsid w:val="00B72D5A"/>
    <w:rsid w:val="00B733C4"/>
    <w:rsid w:val="00B73506"/>
    <w:rsid w:val="00B73A5D"/>
    <w:rsid w:val="00B755B7"/>
    <w:rsid w:val="00B75AEF"/>
    <w:rsid w:val="00B761F0"/>
    <w:rsid w:val="00B76FDF"/>
    <w:rsid w:val="00B776F6"/>
    <w:rsid w:val="00B77CB5"/>
    <w:rsid w:val="00B77D4A"/>
    <w:rsid w:val="00B80327"/>
    <w:rsid w:val="00B8166D"/>
    <w:rsid w:val="00B81C29"/>
    <w:rsid w:val="00B82582"/>
    <w:rsid w:val="00B82B0C"/>
    <w:rsid w:val="00B83882"/>
    <w:rsid w:val="00B83E87"/>
    <w:rsid w:val="00B84DCD"/>
    <w:rsid w:val="00B84F75"/>
    <w:rsid w:val="00B85767"/>
    <w:rsid w:val="00B85893"/>
    <w:rsid w:val="00B86B10"/>
    <w:rsid w:val="00B86E00"/>
    <w:rsid w:val="00B870F3"/>
    <w:rsid w:val="00B872AA"/>
    <w:rsid w:val="00B8772D"/>
    <w:rsid w:val="00B90CD7"/>
    <w:rsid w:val="00B913CA"/>
    <w:rsid w:val="00B91BE2"/>
    <w:rsid w:val="00B92720"/>
    <w:rsid w:val="00B92B35"/>
    <w:rsid w:val="00B93B2B"/>
    <w:rsid w:val="00B93C1E"/>
    <w:rsid w:val="00B94356"/>
    <w:rsid w:val="00B9437B"/>
    <w:rsid w:val="00B96C08"/>
    <w:rsid w:val="00B96C28"/>
    <w:rsid w:val="00B96E3C"/>
    <w:rsid w:val="00B9790A"/>
    <w:rsid w:val="00B97EF7"/>
    <w:rsid w:val="00BA0868"/>
    <w:rsid w:val="00BA0873"/>
    <w:rsid w:val="00BA1589"/>
    <w:rsid w:val="00BA1CEC"/>
    <w:rsid w:val="00BA1CEE"/>
    <w:rsid w:val="00BA1E59"/>
    <w:rsid w:val="00BA1FB1"/>
    <w:rsid w:val="00BA2231"/>
    <w:rsid w:val="00BA2BE4"/>
    <w:rsid w:val="00BA3A0D"/>
    <w:rsid w:val="00BA4001"/>
    <w:rsid w:val="00BA5157"/>
    <w:rsid w:val="00BA65A8"/>
    <w:rsid w:val="00BA6922"/>
    <w:rsid w:val="00BA6D6D"/>
    <w:rsid w:val="00BA7AF8"/>
    <w:rsid w:val="00BB0071"/>
    <w:rsid w:val="00BB0E74"/>
    <w:rsid w:val="00BB0F04"/>
    <w:rsid w:val="00BB0F61"/>
    <w:rsid w:val="00BB0FFA"/>
    <w:rsid w:val="00BB1889"/>
    <w:rsid w:val="00BB348D"/>
    <w:rsid w:val="00BB4766"/>
    <w:rsid w:val="00BB5B85"/>
    <w:rsid w:val="00BB6A4B"/>
    <w:rsid w:val="00BB6D3F"/>
    <w:rsid w:val="00BB7DC1"/>
    <w:rsid w:val="00BB7E12"/>
    <w:rsid w:val="00BB7E87"/>
    <w:rsid w:val="00BC0535"/>
    <w:rsid w:val="00BC137A"/>
    <w:rsid w:val="00BC1691"/>
    <w:rsid w:val="00BC18B2"/>
    <w:rsid w:val="00BC1D43"/>
    <w:rsid w:val="00BC23C6"/>
    <w:rsid w:val="00BC245E"/>
    <w:rsid w:val="00BC2A6A"/>
    <w:rsid w:val="00BC36FD"/>
    <w:rsid w:val="00BC61A7"/>
    <w:rsid w:val="00BC62A2"/>
    <w:rsid w:val="00BC6B46"/>
    <w:rsid w:val="00BD089B"/>
    <w:rsid w:val="00BD1DE0"/>
    <w:rsid w:val="00BD20A3"/>
    <w:rsid w:val="00BD286D"/>
    <w:rsid w:val="00BD2EA0"/>
    <w:rsid w:val="00BD3C38"/>
    <w:rsid w:val="00BD4090"/>
    <w:rsid w:val="00BD44F4"/>
    <w:rsid w:val="00BD49E9"/>
    <w:rsid w:val="00BD4DFC"/>
    <w:rsid w:val="00BD64DB"/>
    <w:rsid w:val="00BD750F"/>
    <w:rsid w:val="00BE16BE"/>
    <w:rsid w:val="00BE1DF7"/>
    <w:rsid w:val="00BE1E23"/>
    <w:rsid w:val="00BE3166"/>
    <w:rsid w:val="00BE344C"/>
    <w:rsid w:val="00BE3519"/>
    <w:rsid w:val="00BE52A5"/>
    <w:rsid w:val="00BE5835"/>
    <w:rsid w:val="00BE5F04"/>
    <w:rsid w:val="00BF1F60"/>
    <w:rsid w:val="00BF2C62"/>
    <w:rsid w:val="00BF2EAE"/>
    <w:rsid w:val="00BF37A4"/>
    <w:rsid w:val="00BF398D"/>
    <w:rsid w:val="00BF426B"/>
    <w:rsid w:val="00BF48B5"/>
    <w:rsid w:val="00BF4C82"/>
    <w:rsid w:val="00BF5063"/>
    <w:rsid w:val="00BF5072"/>
    <w:rsid w:val="00BF6337"/>
    <w:rsid w:val="00BF64A3"/>
    <w:rsid w:val="00BF655A"/>
    <w:rsid w:val="00BF6677"/>
    <w:rsid w:val="00BF7020"/>
    <w:rsid w:val="00BF70E7"/>
    <w:rsid w:val="00BF7837"/>
    <w:rsid w:val="00BF7CB5"/>
    <w:rsid w:val="00C00A43"/>
    <w:rsid w:val="00C00AFA"/>
    <w:rsid w:val="00C00D48"/>
    <w:rsid w:val="00C013C4"/>
    <w:rsid w:val="00C018F8"/>
    <w:rsid w:val="00C0256C"/>
    <w:rsid w:val="00C02DA1"/>
    <w:rsid w:val="00C032D3"/>
    <w:rsid w:val="00C03501"/>
    <w:rsid w:val="00C0355B"/>
    <w:rsid w:val="00C046E9"/>
    <w:rsid w:val="00C0560B"/>
    <w:rsid w:val="00C056FB"/>
    <w:rsid w:val="00C07E34"/>
    <w:rsid w:val="00C11FF2"/>
    <w:rsid w:val="00C12D2A"/>
    <w:rsid w:val="00C14F32"/>
    <w:rsid w:val="00C150EA"/>
    <w:rsid w:val="00C150F4"/>
    <w:rsid w:val="00C15193"/>
    <w:rsid w:val="00C153F9"/>
    <w:rsid w:val="00C172DB"/>
    <w:rsid w:val="00C20BA2"/>
    <w:rsid w:val="00C21E55"/>
    <w:rsid w:val="00C22453"/>
    <w:rsid w:val="00C22696"/>
    <w:rsid w:val="00C2299A"/>
    <w:rsid w:val="00C22B37"/>
    <w:rsid w:val="00C22BF0"/>
    <w:rsid w:val="00C22E7D"/>
    <w:rsid w:val="00C23285"/>
    <w:rsid w:val="00C241E4"/>
    <w:rsid w:val="00C247AB"/>
    <w:rsid w:val="00C25D57"/>
    <w:rsid w:val="00C26195"/>
    <w:rsid w:val="00C2630D"/>
    <w:rsid w:val="00C2715E"/>
    <w:rsid w:val="00C2717D"/>
    <w:rsid w:val="00C27364"/>
    <w:rsid w:val="00C2779E"/>
    <w:rsid w:val="00C27962"/>
    <w:rsid w:val="00C304D5"/>
    <w:rsid w:val="00C30634"/>
    <w:rsid w:val="00C3105F"/>
    <w:rsid w:val="00C3196C"/>
    <w:rsid w:val="00C31D55"/>
    <w:rsid w:val="00C32393"/>
    <w:rsid w:val="00C32447"/>
    <w:rsid w:val="00C32C7F"/>
    <w:rsid w:val="00C331A7"/>
    <w:rsid w:val="00C34388"/>
    <w:rsid w:val="00C347DE"/>
    <w:rsid w:val="00C34AD1"/>
    <w:rsid w:val="00C34D41"/>
    <w:rsid w:val="00C36168"/>
    <w:rsid w:val="00C3634A"/>
    <w:rsid w:val="00C367EB"/>
    <w:rsid w:val="00C37CD3"/>
    <w:rsid w:val="00C4102B"/>
    <w:rsid w:val="00C4133A"/>
    <w:rsid w:val="00C414E8"/>
    <w:rsid w:val="00C421D8"/>
    <w:rsid w:val="00C422FD"/>
    <w:rsid w:val="00C42512"/>
    <w:rsid w:val="00C4276C"/>
    <w:rsid w:val="00C435C6"/>
    <w:rsid w:val="00C4412D"/>
    <w:rsid w:val="00C4506B"/>
    <w:rsid w:val="00C458A8"/>
    <w:rsid w:val="00C46EC9"/>
    <w:rsid w:val="00C47A2B"/>
    <w:rsid w:val="00C47C53"/>
    <w:rsid w:val="00C50465"/>
    <w:rsid w:val="00C51755"/>
    <w:rsid w:val="00C51E02"/>
    <w:rsid w:val="00C524FD"/>
    <w:rsid w:val="00C52C2C"/>
    <w:rsid w:val="00C53323"/>
    <w:rsid w:val="00C53450"/>
    <w:rsid w:val="00C5356C"/>
    <w:rsid w:val="00C5383B"/>
    <w:rsid w:val="00C53AD4"/>
    <w:rsid w:val="00C5406F"/>
    <w:rsid w:val="00C54CF2"/>
    <w:rsid w:val="00C54F3F"/>
    <w:rsid w:val="00C550F5"/>
    <w:rsid w:val="00C57654"/>
    <w:rsid w:val="00C57FBF"/>
    <w:rsid w:val="00C60627"/>
    <w:rsid w:val="00C609E8"/>
    <w:rsid w:val="00C61C09"/>
    <w:rsid w:val="00C62ADC"/>
    <w:rsid w:val="00C62F42"/>
    <w:rsid w:val="00C63A9F"/>
    <w:rsid w:val="00C63FFD"/>
    <w:rsid w:val="00C64156"/>
    <w:rsid w:val="00C64426"/>
    <w:rsid w:val="00C64477"/>
    <w:rsid w:val="00C648EA"/>
    <w:rsid w:val="00C64B31"/>
    <w:rsid w:val="00C64D4A"/>
    <w:rsid w:val="00C64EA3"/>
    <w:rsid w:val="00C6524D"/>
    <w:rsid w:val="00C6531E"/>
    <w:rsid w:val="00C65FC3"/>
    <w:rsid w:val="00C662B1"/>
    <w:rsid w:val="00C66533"/>
    <w:rsid w:val="00C665E1"/>
    <w:rsid w:val="00C66B62"/>
    <w:rsid w:val="00C675D1"/>
    <w:rsid w:val="00C67753"/>
    <w:rsid w:val="00C67767"/>
    <w:rsid w:val="00C70853"/>
    <w:rsid w:val="00C708B9"/>
    <w:rsid w:val="00C71538"/>
    <w:rsid w:val="00C71B68"/>
    <w:rsid w:val="00C72819"/>
    <w:rsid w:val="00C72D31"/>
    <w:rsid w:val="00C72DEF"/>
    <w:rsid w:val="00C73EA6"/>
    <w:rsid w:val="00C754C6"/>
    <w:rsid w:val="00C755D6"/>
    <w:rsid w:val="00C75AE3"/>
    <w:rsid w:val="00C763D8"/>
    <w:rsid w:val="00C7673E"/>
    <w:rsid w:val="00C76BBE"/>
    <w:rsid w:val="00C77EC3"/>
    <w:rsid w:val="00C816E8"/>
    <w:rsid w:val="00C820E4"/>
    <w:rsid w:val="00C82890"/>
    <w:rsid w:val="00C82D8F"/>
    <w:rsid w:val="00C82E0F"/>
    <w:rsid w:val="00C846A5"/>
    <w:rsid w:val="00C84D7B"/>
    <w:rsid w:val="00C8532C"/>
    <w:rsid w:val="00C86BF9"/>
    <w:rsid w:val="00C86FA7"/>
    <w:rsid w:val="00C8731A"/>
    <w:rsid w:val="00C87679"/>
    <w:rsid w:val="00C900F3"/>
    <w:rsid w:val="00C913E4"/>
    <w:rsid w:val="00C9145A"/>
    <w:rsid w:val="00C919FB"/>
    <w:rsid w:val="00C920C6"/>
    <w:rsid w:val="00C92511"/>
    <w:rsid w:val="00C92ECC"/>
    <w:rsid w:val="00C9321A"/>
    <w:rsid w:val="00C93C55"/>
    <w:rsid w:val="00C93EFD"/>
    <w:rsid w:val="00C948AC"/>
    <w:rsid w:val="00C955BC"/>
    <w:rsid w:val="00C9715D"/>
    <w:rsid w:val="00C97CD7"/>
    <w:rsid w:val="00CA03F2"/>
    <w:rsid w:val="00CA0EA5"/>
    <w:rsid w:val="00CA1702"/>
    <w:rsid w:val="00CA2340"/>
    <w:rsid w:val="00CA2350"/>
    <w:rsid w:val="00CA2B56"/>
    <w:rsid w:val="00CA408E"/>
    <w:rsid w:val="00CA43DF"/>
    <w:rsid w:val="00CA5220"/>
    <w:rsid w:val="00CA67E9"/>
    <w:rsid w:val="00CA6A00"/>
    <w:rsid w:val="00CA6CB7"/>
    <w:rsid w:val="00CA6E44"/>
    <w:rsid w:val="00CA727C"/>
    <w:rsid w:val="00CB01CD"/>
    <w:rsid w:val="00CB0386"/>
    <w:rsid w:val="00CB05F1"/>
    <w:rsid w:val="00CB06E1"/>
    <w:rsid w:val="00CB0FC0"/>
    <w:rsid w:val="00CB21E9"/>
    <w:rsid w:val="00CB21EF"/>
    <w:rsid w:val="00CB396F"/>
    <w:rsid w:val="00CB451D"/>
    <w:rsid w:val="00CB47E9"/>
    <w:rsid w:val="00CB4D09"/>
    <w:rsid w:val="00CB5173"/>
    <w:rsid w:val="00CB5585"/>
    <w:rsid w:val="00CB645C"/>
    <w:rsid w:val="00CB697A"/>
    <w:rsid w:val="00CB6F6E"/>
    <w:rsid w:val="00CB77B6"/>
    <w:rsid w:val="00CC1DA6"/>
    <w:rsid w:val="00CC2660"/>
    <w:rsid w:val="00CC27BD"/>
    <w:rsid w:val="00CC2A9A"/>
    <w:rsid w:val="00CC302C"/>
    <w:rsid w:val="00CC3827"/>
    <w:rsid w:val="00CC4CDA"/>
    <w:rsid w:val="00CC4F38"/>
    <w:rsid w:val="00CC57DC"/>
    <w:rsid w:val="00CC638D"/>
    <w:rsid w:val="00CC6488"/>
    <w:rsid w:val="00CC779A"/>
    <w:rsid w:val="00CC7D34"/>
    <w:rsid w:val="00CD02D6"/>
    <w:rsid w:val="00CD12CE"/>
    <w:rsid w:val="00CD1498"/>
    <w:rsid w:val="00CD17D3"/>
    <w:rsid w:val="00CD18AA"/>
    <w:rsid w:val="00CD1B5A"/>
    <w:rsid w:val="00CD2209"/>
    <w:rsid w:val="00CD34E3"/>
    <w:rsid w:val="00CD3E6A"/>
    <w:rsid w:val="00CD3F7E"/>
    <w:rsid w:val="00CD42CE"/>
    <w:rsid w:val="00CD4319"/>
    <w:rsid w:val="00CD49CF"/>
    <w:rsid w:val="00CD5BEC"/>
    <w:rsid w:val="00CD63DD"/>
    <w:rsid w:val="00CD6D2D"/>
    <w:rsid w:val="00CE03AE"/>
    <w:rsid w:val="00CE0443"/>
    <w:rsid w:val="00CE195F"/>
    <w:rsid w:val="00CE1DEA"/>
    <w:rsid w:val="00CE458E"/>
    <w:rsid w:val="00CE4F0D"/>
    <w:rsid w:val="00CE55BB"/>
    <w:rsid w:val="00CE5E69"/>
    <w:rsid w:val="00CE6853"/>
    <w:rsid w:val="00CE6F45"/>
    <w:rsid w:val="00CE7535"/>
    <w:rsid w:val="00CE7EB0"/>
    <w:rsid w:val="00CF0CC4"/>
    <w:rsid w:val="00CF1033"/>
    <w:rsid w:val="00CF1139"/>
    <w:rsid w:val="00CF2EE2"/>
    <w:rsid w:val="00CF42A1"/>
    <w:rsid w:val="00CF4E59"/>
    <w:rsid w:val="00CF509A"/>
    <w:rsid w:val="00CF62A1"/>
    <w:rsid w:val="00CF62BD"/>
    <w:rsid w:val="00CF67D4"/>
    <w:rsid w:val="00CF7355"/>
    <w:rsid w:val="00D006F5"/>
    <w:rsid w:val="00D00A12"/>
    <w:rsid w:val="00D01203"/>
    <w:rsid w:val="00D01C64"/>
    <w:rsid w:val="00D022EC"/>
    <w:rsid w:val="00D0256F"/>
    <w:rsid w:val="00D0280D"/>
    <w:rsid w:val="00D031EC"/>
    <w:rsid w:val="00D0330B"/>
    <w:rsid w:val="00D03504"/>
    <w:rsid w:val="00D038E1"/>
    <w:rsid w:val="00D03BC7"/>
    <w:rsid w:val="00D04396"/>
    <w:rsid w:val="00D04D04"/>
    <w:rsid w:val="00D04FBA"/>
    <w:rsid w:val="00D0645D"/>
    <w:rsid w:val="00D067DE"/>
    <w:rsid w:val="00D07B96"/>
    <w:rsid w:val="00D11334"/>
    <w:rsid w:val="00D11C08"/>
    <w:rsid w:val="00D121E1"/>
    <w:rsid w:val="00D12351"/>
    <w:rsid w:val="00D12DD7"/>
    <w:rsid w:val="00D1354C"/>
    <w:rsid w:val="00D13D61"/>
    <w:rsid w:val="00D14139"/>
    <w:rsid w:val="00D14C9A"/>
    <w:rsid w:val="00D14E4D"/>
    <w:rsid w:val="00D15281"/>
    <w:rsid w:val="00D159D4"/>
    <w:rsid w:val="00D160E5"/>
    <w:rsid w:val="00D164BF"/>
    <w:rsid w:val="00D17B52"/>
    <w:rsid w:val="00D17E27"/>
    <w:rsid w:val="00D20764"/>
    <w:rsid w:val="00D20B7E"/>
    <w:rsid w:val="00D20BEE"/>
    <w:rsid w:val="00D21708"/>
    <w:rsid w:val="00D21D77"/>
    <w:rsid w:val="00D228C3"/>
    <w:rsid w:val="00D22C12"/>
    <w:rsid w:val="00D232FB"/>
    <w:rsid w:val="00D2437C"/>
    <w:rsid w:val="00D24E6F"/>
    <w:rsid w:val="00D2571A"/>
    <w:rsid w:val="00D260ED"/>
    <w:rsid w:val="00D2668E"/>
    <w:rsid w:val="00D2686D"/>
    <w:rsid w:val="00D26A4E"/>
    <w:rsid w:val="00D270B4"/>
    <w:rsid w:val="00D27B20"/>
    <w:rsid w:val="00D27ED9"/>
    <w:rsid w:val="00D27F32"/>
    <w:rsid w:val="00D30B60"/>
    <w:rsid w:val="00D31095"/>
    <w:rsid w:val="00D31401"/>
    <w:rsid w:val="00D31C89"/>
    <w:rsid w:val="00D31CDA"/>
    <w:rsid w:val="00D32E56"/>
    <w:rsid w:val="00D32ED3"/>
    <w:rsid w:val="00D334D2"/>
    <w:rsid w:val="00D338AF"/>
    <w:rsid w:val="00D34331"/>
    <w:rsid w:val="00D347E6"/>
    <w:rsid w:val="00D35635"/>
    <w:rsid w:val="00D35AB9"/>
    <w:rsid w:val="00D35C4C"/>
    <w:rsid w:val="00D36225"/>
    <w:rsid w:val="00D36992"/>
    <w:rsid w:val="00D36E84"/>
    <w:rsid w:val="00D371EC"/>
    <w:rsid w:val="00D3743B"/>
    <w:rsid w:val="00D377BC"/>
    <w:rsid w:val="00D379D7"/>
    <w:rsid w:val="00D37AFE"/>
    <w:rsid w:val="00D408C3"/>
    <w:rsid w:val="00D4137C"/>
    <w:rsid w:val="00D41954"/>
    <w:rsid w:val="00D44929"/>
    <w:rsid w:val="00D44DCF"/>
    <w:rsid w:val="00D45978"/>
    <w:rsid w:val="00D4721D"/>
    <w:rsid w:val="00D47241"/>
    <w:rsid w:val="00D5000F"/>
    <w:rsid w:val="00D50C06"/>
    <w:rsid w:val="00D50D98"/>
    <w:rsid w:val="00D50ECE"/>
    <w:rsid w:val="00D51833"/>
    <w:rsid w:val="00D5197A"/>
    <w:rsid w:val="00D52256"/>
    <w:rsid w:val="00D524DC"/>
    <w:rsid w:val="00D534C7"/>
    <w:rsid w:val="00D5441E"/>
    <w:rsid w:val="00D54518"/>
    <w:rsid w:val="00D5575E"/>
    <w:rsid w:val="00D55D77"/>
    <w:rsid w:val="00D5605F"/>
    <w:rsid w:val="00D56185"/>
    <w:rsid w:val="00D567B1"/>
    <w:rsid w:val="00D56C9D"/>
    <w:rsid w:val="00D5734F"/>
    <w:rsid w:val="00D579CF"/>
    <w:rsid w:val="00D57E9C"/>
    <w:rsid w:val="00D60659"/>
    <w:rsid w:val="00D606CD"/>
    <w:rsid w:val="00D60A7C"/>
    <w:rsid w:val="00D60B2D"/>
    <w:rsid w:val="00D61DB6"/>
    <w:rsid w:val="00D6277E"/>
    <w:rsid w:val="00D62E21"/>
    <w:rsid w:val="00D62E24"/>
    <w:rsid w:val="00D62F7A"/>
    <w:rsid w:val="00D646AC"/>
    <w:rsid w:val="00D6489D"/>
    <w:rsid w:val="00D64AE7"/>
    <w:rsid w:val="00D64EB6"/>
    <w:rsid w:val="00D65C47"/>
    <w:rsid w:val="00D65F3B"/>
    <w:rsid w:val="00D67F43"/>
    <w:rsid w:val="00D7052D"/>
    <w:rsid w:val="00D70B41"/>
    <w:rsid w:val="00D70E0F"/>
    <w:rsid w:val="00D71037"/>
    <w:rsid w:val="00D71AE0"/>
    <w:rsid w:val="00D71BF3"/>
    <w:rsid w:val="00D721D7"/>
    <w:rsid w:val="00D73224"/>
    <w:rsid w:val="00D7470E"/>
    <w:rsid w:val="00D74DC4"/>
    <w:rsid w:val="00D76D3E"/>
    <w:rsid w:val="00D779A8"/>
    <w:rsid w:val="00D80000"/>
    <w:rsid w:val="00D81679"/>
    <w:rsid w:val="00D8235C"/>
    <w:rsid w:val="00D83F89"/>
    <w:rsid w:val="00D8483E"/>
    <w:rsid w:val="00D8520C"/>
    <w:rsid w:val="00D8675D"/>
    <w:rsid w:val="00D8682B"/>
    <w:rsid w:val="00D90355"/>
    <w:rsid w:val="00D91DC1"/>
    <w:rsid w:val="00D91EDA"/>
    <w:rsid w:val="00D920C7"/>
    <w:rsid w:val="00D923F9"/>
    <w:rsid w:val="00D95214"/>
    <w:rsid w:val="00DA0D86"/>
    <w:rsid w:val="00DA12A2"/>
    <w:rsid w:val="00DA333A"/>
    <w:rsid w:val="00DA3AD3"/>
    <w:rsid w:val="00DA3D0B"/>
    <w:rsid w:val="00DA4C2F"/>
    <w:rsid w:val="00DA608D"/>
    <w:rsid w:val="00DA6C98"/>
    <w:rsid w:val="00DA6D7B"/>
    <w:rsid w:val="00DA6D8F"/>
    <w:rsid w:val="00DA76C8"/>
    <w:rsid w:val="00DA78F4"/>
    <w:rsid w:val="00DB0F24"/>
    <w:rsid w:val="00DB1791"/>
    <w:rsid w:val="00DB1998"/>
    <w:rsid w:val="00DB3063"/>
    <w:rsid w:val="00DB39B1"/>
    <w:rsid w:val="00DB51FF"/>
    <w:rsid w:val="00DB5BAA"/>
    <w:rsid w:val="00DB5DE3"/>
    <w:rsid w:val="00DB6177"/>
    <w:rsid w:val="00DB6503"/>
    <w:rsid w:val="00DB7026"/>
    <w:rsid w:val="00DB7D29"/>
    <w:rsid w:val="00DC0C67"/>
    <w:rsid w:val="00DC1030"/>
    <w:rsid w:val="00DC14DB"/>
    <w:rsid w:val="00DC1DBA"/>
    <w:rsid w:val="00DC2356"/>
    <w:rsid w:val="00DC238E"/>
    <w:rsid w:val="00DC2F03"/>
    <w:rsid w:val="00DC33C9"/>
    <w:rsid w:val="00DC352B"/>
    <w:rsid w:val="00DC39A1"/>
    <w:rsid w:val="00DC4C6A"/>
    <w:rsid w:val="00DC5C0E"/>
    <w:rsid w:val="00DC684A"/>
    <w:rsid w:val="00DC756A"/>
    <w:rsid w:val="00DC7678"/>
    <w:rsid w:val="00DC76CB"/>
    <w:rsid w:val="00DD042E"/>
    <w:rsid w:val="00DD0573"/>
    <w:rsid w:val="00DD0B33"/>
    <w:rsid w:val="00DD1E9F"/>
    <w:rsid w:val="00DD29C8"/>
    <w:rsid w:val="00DD3531"/>
    <w:rsid w:val="00DD355E"/>
    <w:rsid w:val="00DD3AB2"/>
    <w:rsid w:val="00DD4A60"/>
    <w:rsid w:val="00DD4DC0"/>
    <w:rsid w:val="00DD4F53"/>
    <w:rsid w:val="00DD4FE9"/>
    <w:rsid w:val="00DD5C45"/>
    <w:rsid w:val="00DE1197"/>
    <w:rsid w:val="00DE1609"/>
    <w:rsid w:val="00DE1A15"/>
    <w:rsid w:val="00DE2311"/>
    <w:rsid w:val="00DE2A4B"/>
    <w:rsid w:val="00DE3AB3"/>
    <w:rsid w:val="00DE4D75"/>
    <w:rsid w:val="00DE5C5E"/>
    <w:rsid w:val="00DE5EF4"/>
    <w:rsid w:val="00DF0D28"/>
    <w:rsid w:val="00DF1716"/>
    <w:rsid w:val="00DF2B71"/>
    <w:rsid w:val="00DF4880"/>
    <w:rsid w:val="00DF5984"/>
    <w:rsid w:val="00DF5DCC"/>
    <w:rsid w:val="00DF5E0B"/>
    <w:rsid w:val="00DF6084"/>
    <w:rsid w:val="00DF64A9"/>
    <w:rsid w:val="00DF6BAE"/>
    <w:rsid w:val="00DF754D"/>
    <w:rsid w:val="00DF7DA5"/>
    <w:rsid w:val="00DF7E98"/>
    <w:rsid w:val="00E016AA"/>
    <w:rsid w:val="00E01AAE"/>
    <w:rsid w:val="00E0310D"/>
    <w:rsid w:val="00E0318F"/>
    <w:rsid w:val="00E03F85"/>
    <w:rsid w:val="00E03FD3"/>
    <w:rsid w:val="00E04680"/>
    <w:rsid w:val="00E05852"/>
    <w:rsid w:val="00E059DE"/>
    <w:rsid w:val="00E05E60"/>
    <w:rsid w:val="00E066C2"/>
    <w:rsid w:val="00E074F1"/>
    <w:rsid w:val="00E075E3"/>
    <w:rsid w:val="00E07759"/>
    <w:rsid w:val="00E07908"/>
    <w:rsid w:val="00E07A11"/>
    <w:rsid w:val="00E07F15"/>
    <w:rsid w:val="00E10AD5"/>
    <w:rsid w:val="00E10F03"/>
    <w:rsid w:val="00E10F46"/>
    <w:rsid w:val="00E114F0"/>
    <w:rsid w:val="00E12138"/>
    <w:rsid w:val="00E12B01"/>
    <w:rsid w:val="00E12CB3"/>
    <w:rsid w:val="00E1301F"/>
    <w:rsid w:val="00E13F22"/>
    <w:rsid w:val="00E14795"/>
    <w:rsid w:val="00E147D2"/>
    <w:rsid w:val="00E14FB6"/>
    <w:rsid w:val="00E15059"/>
    <w:rsid w:val="00E1557F"/>
    <w:rsid w:val="00E16053"/>
    <w:rsid w:val="00E161C1"/>
    <w:rsid w:val="00E1640F"/>
    <w:rsid w:val="00E1649F"/>
    <w:rsid w:val="00E164EB"/>
    <w:rsid w:val="00E16518"/>
    <w:rsid w:val="00E16B23"/>
    <w:rsid w:val="00E17791"/>
    <w:rsid w:val="00E20504"/>
    <w:rsid w:val="00E20565"/>
    <w:rsid w:val="00E21D40"/>
    <w:rsid w:val="00E2272C"/>
    <w:rsid w:val="00E227B1"/>
    <w:rsid w:val="00E233C3"/>
    <w:rsid w:val="00E2365D"/>
    <w:rsid w:val="00E2424E"/>
    <w:rsid w:val="00E252E3"/>
    <w:rsid w:val="00E25847"/>
    <w:rsid w:val="00E25870"/>
    <w:rsid w:val="00E25DFF"/>
    <w:rsid w:val="00E266DD"/>
    <w:rsid w:val="00E26F41"/>
    <w:rsid w:val="00E3038C"/>
    <w:rsid w:val="00E305B3"/>
    <w:rsid w:val="00E3064C"/>
    <w:rsid w:val="00E32B48"/>
    <w:rsid w:val="00E33B7B"/>
    <w:rsid w:val="00E33DD3"/>
    <w:rsid w:val="00E33EDF"/>
    <w:rsid w:val="00E3420A"/>
    <w:rsid w:val="00E343E2"/>
    <w:rsid w:val="00E344B4"/>
    <w:rsid w:val="00E3478A"/>
    <w:rsid w:val="00E34E08"/>
    <w:rsid w:val="00E3600F"/>
    <w:rsid w:val="00E36437"/>
    <w:rsid w:val="00E36E53"/>
    <w:rsid w:val="00E37174"/>
    <w:rsid w:val="00E401BC"/>
    <w:rsid w:val="00E405C0"/>
    <w:rsid w:val="00E4091F"/>
    <w:rsid w:val="00E42C97"/>
    <w:rsid w:val="00E4364E"/>
    <w:rsid w:val="00E44562"/>
    <w:rsid w:val="00E465C2"/>
    <w:rsid w:val="00E46706"/>
    <w:rsid w:val="00E4718B"/>
    <w:rsid w:val="00E47848"/>
    <w:rsid w:val="00E511F4"/>
    <w:rsid w:val="00E51336"/>
    <w:rsid w:val="00E51C6B"/>
    <w:rsid w:val="00E5337D"/>
    <w:rsid w:val="00E536EE"/>
    <w:rsid w:val="00E54354"/>
    <w:rsid w:val="00E54453"/>
    <w:rsid w:val="00E544B2"/>
    <w:rsid w:val="00E551E2"/>
    <w:rsid w:val="00E5556C"/>
    <w:rsid w:val="00E56C8D"/>
    <w:rsid w:val="00E56FE8"/>
    <w:rsid w:val="00E5762A"/>
    <w:rsid w:val="00E57FE9"/>
    <w:rsid w:val="00E6013F"/>
    <w:rsid w:val="00E60B2E"/>
    <w:rsid w:val="00E60DE2"/>
    <w:rsid w:val="00E6215E"/>
    <w:rsid w:val="00E6258A"/>
    <w:rsid w:val="00E62F1B"/>
    <w:rsid w:val="00E64476"/>
    <w:rsid w:val="00E64745"/>
    <w:rsid w:val="00E64BAD"/>
    <w:rsid w:val="00E6543A"/>
    <w:rsid w:val="00E6586B"/>
    <w:rsid w:val="00E65DA0"/>
    <w:rsid w:val="00E65DB6"/>
    <w:rsid w:val="00E6624F"/>
    <w:rsid w:val="00E669C0"/>
    <w:rsid w:val="00E67113"/>
    <w:rsid w:val="00E67988"/>
    <w:rsid w:val="00E67D6D"/>
    <w:rsid w:val="00E702B9"/>
    <w:rsid w:val="00E70969"/>
    <w:rsid w:val="00E70C6D"/>
    <w:rsid w:val="00E72493"/>
    <w:rsid w:val="00E72730"/>
    <w:rsid w:val="00E738B6"/>
    <w:rsid w:val="00E73BF4"/>
    <w:rsid w:val="00E75467"/>
    <w:rsid w:val="00E760A7"/>
    <w:rsid w:val="00E7639D"/>
    <w:rsid w:val="00E7657A"/>
    <w:rsid w:val="00E77A9F"/>
    <w:rsid w:val="00E811D9"/>
    <w:rsid w:val="00E81C77"/>
    <w:rsid w:val="00E81E8B"/>
    <w:rsid w:val="00E81F7B"/>
    <w:rsid w:val="00E82E84"/>
    <w:rsid w:val="00E845C5"/>
    <w:rsid w:val="00E852D6"/>
    <w:rsid w:val="00E8536E"/>
    <w:rsid w:val="00E85591"/>
    <w:rsid w:val="00E85A6C"/>
    <w:rsid w:val="00E85A73"/>
    <w:rsid w:val="00E86C80"/>
    <w:rsid w:val="00E86E86"/>
    <w:rsid w:val="00E876D7"/>
    <w:rsid w:val="00E87BE4"/>
    <w:rsid w:val="00E87CD9"/>
    <w:rsid w:val="00E87FB2"/>
    <w:rsid w:val="00E9090A"/>
    <w:rsid w:val="00E90D7C"/>
    <w:rsid w:val="00E94106"/>
    <w:rsid w:val="00E94B8F"/>
    <w:rsid w:val="00E9505E"/>
    <w:rsid w:val="00E955AA"/>
    <w:rsid w:val="00E961BB"/>
    <w:rsid w:val="00E9635F"/>
    <w:rsid w:val="00E9682F"/>
    <w:rsid w:val="00E96F20"/>
    <w:rsid w:val="00E9717F"/>
    <w:rsid w:val="00EA03B2"/>
    <w:rsid w:val="00EA046A"/>
    <w:rsid w:val="00EA0824"/>
    <w:rsid w:val="00EA191A"/>
    <w:rsid w:val="00EA1B7A"/>
    <w:rsid w:val="00EA1D97"/>
    <w:rsid w:val="00EA2062"/>
    <w:rsid w:val="00EA2645"/>
    <w:rsid w:val="00EA3AB7"/>
    <w:rsid w:val="00EA3C9E"/>
    <w:rsid w:val="00EA4921"/>
    <w:rsid w:val="00EA4FC2"/>
    <w:rsid w:val="00EA58B9"/>
    <w:rsid w:val="00EA674E"/>
    <w:rsid w:val="00EA679E"/>
    <w:rsid w:val="00EA6888"/>
    <w:rsid w:val="00EA6A1E"/>
    <w:rsid w:val="00EA6C43"/>
    <w:rsid w:val="00EA6D99"/>
    <w:rsid w:val="00EA7ED5"/>
    <w:rsid w:val="00EB0A74"/>
    <w:rsid w:val="00EB1218"/>
    <w:rsid w:val="00EB182B"/>
    <w:rsid w:val="00EB1AC0"/>
    <w:rsid w:val="00EB1CD1"/>
    <w:rsid w:val="00EB2EEC"/>
    <w:rsid w:val="00EB375D"/>
    <w:rsid w:val="00EB3941"/>
    <w:rsid w:val="00EB3ADB"/>
    <w:rsid w:val="00EB40B6"/>
    <w:rsid w:val="00EB458B"/>
    <w:rsid w:val="00EB4612"/>
    <w:rsid w:val="00EB5698"/>
    <w:rsid w:val="00EB5A29"/>
    <w:rsid w:val="00EB6B1E"/>
    <w:rsid w:val="00EB6F1B"/>
    <w:rsid w:val="00EB75EE"/>
    <w:rsid w:val="00EB776B"/>
    <w:rsid w:val="00EB7B4F"/>
    <w:rsid w:val="00EB7CD3"/>
    <w:rsid w:val="00EC0AD5"/>
    <w:rsid w:val="00EC13A4"/>
    <w:rsid w:val="00EC680F"/>
    <w:rsid w:val="00EC681E"/>
    <w:rsid w:val="00EC6EF8"/>
    <w:rsid w:val="00EC6FCB"/>
    <w:rsid w:val="00EC78D4"/>
    <w:rsid w:val="00EC7A20"/>
    <w:rsid w:val="00EC7ED6"/>
    <w:rsid w:val="00EC7FDB"/>
    <w:rsid w:val="00ED18D2"/>
    <w:rsid w:val="00ED2AA5"/>
    <w:rsid w:val="00ED2CB8"/>
    <w:rsid w:val="00ED35BD"/>
    <w:rsid w:val="00ED3F36"/>
    <w:rsid w:val="00ED40D0"/>
    <w:rsid w:val="00ED4C87"/>
    <w:rsid w:val="00ED5113"/>
    <w:rsid w:val="00ED53C1"/>
    <w:rsid w:val="00ED5BFD"/>
    <w:rsid w:val="00ED61A9"/>
    <w:rsid w:val="00ED662E"/>
    <w:rsid w:val="00ED6D10"/>
    <w:rsid w:val="00ED712B"/>
    <w:rsid w:val="00ED71C3"/>
    <w:rsid w:val="00ED7795"/>
    <w:rsid w:val="00ED78A2"/>
    <w:rsid w:val="00ED78D4"/>
    <w:rsid w:val="00EE0168"/>
    <w:rsid w:val="00EE035C"/>
    <w:rsid w:val="00EE17D3"/>
    <w:rsid w:val="00EE18CA"/>
    <w:rsid w:val="00EE3BE3"/>
    <w:rsid w:val="00EE3C73"/>
    <w:rsid w:val="00EE4B59"/>
    <w:rsid w:val="00EE5C22"/>
    <w:rsid w:val="00EE692D"/>
    <w:rsid w:val="00EE6C4B"/>
    <w:rsid w:val="00EE6E80"/>
    <w:rsid w:val="00EE7627"/>
    <w:rsid w:val="00EE7648"/>
    <w:rsid w:val="00EF00F3"/>
    <w:rsid w:val="00EF05E4"/>
    <w:rsid w:val="00EF0FDD"/>
    <w:rsid w:val="00EF1495"/>
    <w:rsid w:val="00EF2DC9"/>
    <w:rsid w:val="00EF34DA"/>
    <w:rsid w:val="00EF4EE7"/>
    <w:rsid w:val="00EF4F91"/>
    <w:rsid w:val="00EF5C2D"/>
    <w:rsid w:val="00EF5CFD"/>
    <w:rsid w:val="00EF5E74"/>
    <w:rsid w:val="00EF65D1"/>
    <w:rsid w:val="00EF7B64"/>
    <w:rsid w:val="00EF7E28"/>
    <w:rsid w:val="00F006D0"/>
    <w:rsid w:val="00F020E2"/>
    <w:rsid w:val="00F02B6E"/>
    <w:rsid w:val="00F02D72"/>
    <w:rsid w:val="00F03928"/>
    <w:rsid w:val="00F03FAA"/>
    <w:rsid w:val="00F04F42"/>
    <w:rsid w:val="00F05422"/>
    <w:rsid w:val="00F05561"/>
    <w:rsid w:val="00F05998"/>
    <w:rsid w:val="00F0642F"/>
    <w:rsid w:val="00F064F2"/>
    <w:rsid w:val="00F06683"/>
    <w:rsid w:val="00F06BCA"/>
    <w:rsid w:val="00F07949"/>
    <w:rsid w:val="00F1107B"/>
    <w:rsid w:val="00F1186B"/>
    <w:rsid w:val="00F11972"/>
    <w:rsid w:val="00F11DDD"/>
    <w:rsid w:val="00F12103"/>
    <w:rsid w:val="00F1271B"/>
    <w:rsid w:val="00F130B3"/>
    <w:rsid w:val="00F14835"/>
    <w:rsid w:val="00F14B0C"/>
    <w:rsid w:val="00F14CE1"/>
    <w:rsid w:val="00F14E6F"/>
    <w:rsid w:val="00F153FC"/>
    <w:rsid w:val="00F156F6"/>
    <w:rsid w:val="00F163EF"/>
    <w:rsid w:val="00F1657D"/>
    <w:rsid w:val="00F178B1"/>
    <w:rsid w:val="00F17F61"/>
    <w:rsid w:val="00F204B8"/>
    <w:rsid w:val="00F212EA"/>
    <w:rsid w:val="00F22723"/>
    <w:rsid w:val="00F228E4"/>
    <w:rsid w:val="00F23CD9"/>
    <w:rsid w:val="00F2436A"/>
    <w:rsid w:val="00F251C0"/>
    <w:rsid w:val="00F25356"/>
    <w:rsid w:val="00F25767"/>
    <w:rsid w:val="00F257DF"/>
    <w:rsid w:val="00F269F5"/>
    <w:rsid w:val="00F2773C"/>
    <w:rsid w:val="00F27EBC"/>
    <w:rsid w:val="00F30CE5"/>
    <w:rsid w:val="00F31300"/>
    <w:rsid w:val="00F31A0E"/>
    <w:rsid w:val="00F31DCB"/>
    <w:rsid w:val="00F339E8"/>
    <w:rsid w:val="00F34519"/>
    <w:rsid w:val="00F347C7"/>
    <w:rsid w:val="00F352EF"/>
    <w:rsid w:val="00F36319"/>
    <w:rsid w:val="00F36482"/>
    <w:rsid w:val="00F371B5"/>
    <w:rsid w:val="00F40FAB"/>
    <w:rsid w:val="00F412C8"/>
    <w:rsid w:val="00F41698"/>
    <w:rsid w:val="00F42BE1"/>
    <w:rsid w:val="00F4319E"/>
    <w:rsid w:val="00F4360B"/>
    <w:rsid w:val="00F43BA8"/>
    <w:rsid w:val="00F43D8D"/>
    <w:rsid w:val="00F440D4"/>
    <w:rsid w:val="00F4419C"/>
    <w:rsid w:val="00F4538F"/>
    <w:rsid w:val="00F46307"/>
    <w:rsid w:val="00F465C3"/>
    <w:rsid w:val="00F465D7"/>
    <w:rsid w:val="00F46641"/>
    <w:rsid w:val="00F46863"/>
    <w:rsid w:val="00F4723D"/>
    <w:rsid w:val="00F4732B"/>
    <w:rsid w:val="00F478BC"/>
    <w:rsid w:val="00F47E65"/>
    <w:rsid w:val="00F47EAC"/>
    <w:rsid w:val="00F5097D"/>
    <w:rsid w:val="00F52325"/>
    <w:rsid w:val="00F52924"/>
    <w:rsid w:val="00F533A1"/>
    <w:rsid w:val="00F545E3"/>
    <w:rsid w:val="00F5495E"/>
    <w:rsid w:val="00F551E1"/>
    <w:rsid w:val="00F55794"/>
    <w:rsid w:val="00F55B66"/>
    <w:rsid w:val="00F560FE"/>
    <w:rsid w:val="00F569A0"/>
    <w:rsid w:val="00F574A2"/>
    <w:rsid w:val="00F60A55"/>
    <w:rsid w:val="00F60D8E"/>
    <w:rsid w:val="00F61974"/>
    <w:rsid w:val="00F62B21"/>
    <w:rsid w:val="00F62B52"/>
    <w:rsid w:val="00F62BCE"/>
    <w:rsid w:val="00F6318C"/>
    <w:rsid w:val="00F63601"/>
    <w:rsid w:val="00F63B20"/>
    <w:rsid w:val="00F63E45"/>
    <w:rsid w:val="00F64406"/>
    <w:rsid w:val="00F653FA"/>
    <w:rsid w:val="00F65D90"/>
    <w:rsid w:val="00F6668B"/>
    <w:rsid w:val="00F669BD"/>
    <w:rsid w:val="00F67E14"/>
    <w:rsid w:val="00F7007D"/>
    <w:rsid w:val="00F702F1"/>
    <w:rsid w:val="00F71B6F"/>
    <w:rsid w:val="00F72B9B"/>
    <w:rsid w:val="00F72EC1"/>
    <w:rsid w:val="00F73727"/>
    <w:rsid w:val="00F73A88"/>
    <w:rsid w:val="00F73F1A"/>
    <w:rsid w:val="00F74A50"/>
    <w:rsid w:val="00F759EE"/>
    <w:rsid w:val="00F76393"/>
    <w:rsid w:val="00F76783"/>
    <w:rsid w:val="00F76EB1"/>
    <w:rsid w:val="00F77636"/>
    <w:rsid w:val="00F77F76"/>
    <w:rsid w:val="00F802D5"/>
    <w:rsid w:val="00F8129F"/>
    <w:rsid w:val="00F819E8"/>
    <w:rsid w:val="00F82836"/>
    <w:rsid w:val="00F833EF"/>
    <w:rsid w:val="00F841CD"/>
    <w:rsid w:val="00F84701"/>
    <w:rsid w:val="00F85BCF"/>
    <w:rsid w:val="00F8627E"/>
    <w:rsid w:val="00F87569"/>
    <w:rsid w:val="00F87A8A"/>
    <w:rsid w:val="00F908FD"/>
    <w:rsid w:val="00F90995"/>
    <w:rsid w:val="00F9340C"/>
    <w:rsid w:val="00F93703"/>
    <w:rsid w:val="00F938C0"/>
    <w:rsid w:val="00F9513F"/>
    <w:rsid w:val="00F95ABD"/>
    <w:rsid w:val="00F96FF9"/>
    <w:rsid w:val="00F97766"/>
    <w:rsid w:val="00F97AEC"/>
    <w:rsid w:val="00FA00B3"/>
    <w:rsid w:val="00FA020C"/>
    <w:rsid w:val="00FA1814"/>
    <w:rsid w:val="00FA2820"/>
    <w:rsid w:val="00FA326F"/>
    <w:rsid w:val="00FA3594"/>
    <w:rsid w:val="00FA4EA1"/>
    <w:rsid w:val="00FA5243"/>
    <w:rsid w:val="00FA5780"/>
    <w:rsid w:val="00FA5BDC"/>
    <w:rsid w:val="00FA6624"/>
    <w:rsid w:val="00FA70E6"/>
    <w:rsid w:val="00FA74E2"/>
    <w:rsid w:val="00FA7887"/>
    <w:rsid w:val="00FA79EF"/>
    <w:rsid w:val="00FB01D8"/>
    <w:rsid w:val="00FB0731"/>
    <w:rsid w:val="00FB0812"/>
    <w:rsid w:val="00FB0CF2"/>
    <w:rsid w:val="00FB331B"/>
    <w:rsid w:val="00FB35F4"/>
    <w:rsid w:val="00FB3DE4"/>
    <w:rsid w:val="00FB3FAA"/>
    <w:rsid w:val="00FB44EF"/>
    <w:rsid w:val="00FB4693"/>
    <w:rsid w:val="00FB4908"/>
    <w:rsid w:val="00FB5E36"/>
    <w:rsid w:val="00FB647B"/>
    <w:rsid w:val="00FB6532"/>
    <w:rsid w:val="00FB6A7C"/>
    <w:rsid w:val="00FB6AB2"/>
    <w:rsid w:val="00FB6F97"/>
    <w:rsid w:val="00FB7FD6"/>
    <w:rsid w:val="00FC1917"/>
    <w:rsid w:val="00FC21DE"/>
    <w:rsid w:val="00FC25FC"/>
    <w:rsid w:val="00FC2FA4"/>
    <w:rsid w:val="00FC3877"/>
    <w:rsid w:val="00FC3C72"/>
    <w:rsid w:val="00FC4107"/>
    <w:rsid w:val="00FC5000"/>
    <w:rsid w:val="00FC505D"/>
    <w:rsid w:val="00FC6BED"/>
    <w:rsid w:val="00FC7B9B"/>
    <w:rsid w:val="00FD0378"/>
    <w:rsid w:val="00FD0DA5"/>
    <w:rsid w:val="00FD10B7"/>
    <w:rsid w:val="00FD2E19"/>
    <w:rsid w:val="00FD3A60"/>
    <w:rsid w:val="00FD3FA0"/>
    <w:rsid w:val="00FD49E6"/>
    <w:rsid w:val="00FD4B8A"/>
    <w:rsid w:val="00FD4BDF"/>
    <w:rsid w:val="00FD4DAE"/>
    <w:rsid w:val="00FD5CF2"/>
    <w:rsid w:val="00FD6593"/>
    <w:rsid w:val="00FD7125"/>
    <w:rsid w:val="00FE0186"/>
    <w:rsid w:val="00FE0CC6"/>
    <w:rsid w:val="00FE147D"/>
    <w:rsid w:val="00FE2ABA"/>
    <w:rsid w:val="00FE3A91"/>
    <w:rsid w:val="00FE3FE1"/>
    <w:rsid w:val="00FE483E"/>
    <w:rsid w:val="00FE635B"/>
    <w:rsid w:val="00FE6807"/>
    <w:rsid w:val="00FE77FA"/>
    <w:rsid w:val="00FE7915"/>
    <w:rsid w:val="00FE7D72"/>
    <w:rsid w:val="00FF0BAD"/>
    <w:rsid w:val="00FF0CEE"/>
    <w:rsid w:val="00FF0D6B"/>
    <w:rsid w:val="00FF22C8"/>
    <w:rsid w:val="00FF236E"/>
    <w:rsid w:val="00FF266F"/>
    <w:rsid w:val="00FF3A76"/>
    <w:rsid w:val="00FF474F"/>
    <w:rsid w:val="00FF4C9D"/>
    <w:rsid w:val="00FF4CEB"/>
    <w:rsid w:val="00FF5059"/>
    <w:rsid w:val="00FF50A5"/>
    <w:rsid w:val="00FF5CCD"/>
    <w:rsid w:val="00FF65D6"/>
    <w:rsid w:val="00FF6E7C"/>
    <w:rsid w:val="00FF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5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CB"/>
  </w:style>
  <w:style w:type="paragraph" w:styleId="Heading1">
    <w:name w:val="heading 1"/>
    <w:basedOn w:val="Normal"/>
    <w:next w:val="PhDParagraphnoIdent"/>
    <w:link w:val="Heading1Char"/>
    <w:autoRedefine/>
    <w:uiPriority w:val="9"/>
    <w:qFormat/>
    <w:rsid w:val="007453FA"/>
    <w:pPr>
      <w:keepNext/>
      <w:keepLines/>
      <w:numPr>
        <w:numId w:val="2"/>
      </w:numPr>
      <w:spacing w:after="0" w:line="480" w:lineRule="auto"/>
      <w:ind w:left="709"/>
      <w:jc w:val="both"/>
      <w:outlineLvl w:val="0"/>
    </w:pPr>
    <w:rPr>
      <w:rFonts w:ascii="Arial" w:eastAsia="Calibri" w:hAnsi="Arial" w:cs="Arial"/>
      <w:b/>
      <w:bCs/>
      <w:sz w:val="24"/>
      <w:szCs w:val="28"/>
    </w:rPr>
  </w:style>
  <w:style w:type="paragraph" w:styleId="Heading2">
    <w:name w:val="heading 2"/>
    <w:basedOn w:val="Normal"/>
    <w:next w:val="PhDParagraphnoIdent"/>
    <w:link w:val="Heading2Char"/>
    <w:autoRedefine/>
    <w:uiPriority w:val="9"/>
    <w:unhideWhenUsed/>
    <w:qFormat/>
    <w:rsid w:val="00C9715D"/>
    <w:pPr>
      <w:keepNext/>
      <w:keepLines/>
      <w:spacing w:before="200" w:after="0" w:line="360" w:lineRule="auto"/>
      <w:ind w:left="709" w:hanging="709"/>
      <w:jc w:val="both"/>
      <w:outlineLvl w:val="1"/>
    </w:pPr>
    <w:rPr>
      <w:rFonts w:ascii="Arial" w:eastAsiaTheme="majorEastAsia" w:hAnsi="Arial" w:cstheme="majorBidi"/>
      <w:b/>
      <w:bCs/>
      <w:sz w:val="24"/>
      <w:szCs w:val="26"/>
    </w:rPr>
  </w:style>
  <w:style w:type="paragraph" w:styleId="Heading3">
    <w:name w:val="heading 3"/>
    <w:basedOn w:val="Normal"/>
    <w:next w:val="PhDParagraphnoIdent"/>
    <w:link w:val="Heading3Char"/>
    <w:autoRedefine/>
    <w:uiPriority w:val="9"/>
    <w:unhideWhenUsed/>
    <w:qFormat/>
    <w:rsid w:val="00EC6EF8"/>
    <w:pPr>
      <w:keepNext/>
      <w:keepLines/>
      <w:numPr>
        <w:ilvl w:val="2"/>
        <w:numId w:val="2"/>
      </w:numPr>
      <w:spacing w:before="200" w:after="0" w:line="480" w:lineRule="auto"/>
      <w:ind w:left="1503" w:hanging="794"/>
      <w:jc w:val="both"/>
      <w:outlineLvl w:val="2"/>
    </w:pPr>
    <w:rPr>
      <w:rFonts w:ascii="Arial" w:hAnsi="Arial"/>
      <w:bCs/>
      <w:i/>
    </w:rPr>
  </w:style>
  <w:style w:type="paragraph" w:styleId="Heading4">
    <w:name w:val="heading 4"/>
    <w:basedOn w:val="Normal"/>
    <w:next w:val="PhDParagraphnoIdent"/>
    <w:link w:val="Heading4Char"/>
    <w:uiPriority w:val="9"/>
    <w:unhideWhenUsed/>
    <w:qFormat/>
    <w:rsid w:val="00B038DB"/>
    <w:pPr>
      <w:keepNext/>
      <w:keepLines/>
      <w:spacing w:before="200" w:after="0" w:line="480" w:lineRule="auto"/>
      <w:jc w:val="both"/>
      <w:outlineLvl w:val="3"/>
    </w:pPr>
    <w:rPr>
      <w:rFonts w:ascii="Arial" w:eastAsiaTheme="majorEastAsia" w:hAnsi="Arial" w:cstheme="majorBidi"/>
      <w:bCs/>
      <w:iCs/>
    </w:rPr>
  </w:style>
  <w:style w:type="paragraph" w:styleId="Heading5">
    <w:name w:val="heading 5"/>
    <w:basedOn w:val="Normal"/>
    <w:next w:val="Normal"/>
    <w:link w:val="Heading5Char"/>
    <w:uiPriority w:val="9"/>
    <w:semiHidden/>
    <w:unhideWhenUsed/>
    <w:qFormat/>
    <w:rsid w:val="00B038DB"/>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38DB"/>
    <w:pPr>
      <w:keepNext/>
      <w:keepLines/>
      <w:numPr>
        <w:ilvl w:val="5"/>
        <w:numId w:val="1"/>
      </w:numPr>
      <w:spacing w:before="200" w:after="0"/>
      <w:jc w:val="both"/>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38DB"/>
    <w:pPr>
      <w:keepNext/>
      <w:keepLines/>
      <w:numPr>
        <w:ilvl w:val="6"/>
        <w:numId w:val="1"/>
      </w:numPr>
      <w:spacing w:before="200" w:after="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38DB"/>
    <w:pPr>
      <w:keepNext/>
      <w:keepLines/>
      <w:numPr>
        <w:ilvl w:val="7"/>
        <w:numId w:val="1"/>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38DB"/>
    <w:pPr>
      <w:keepNext/>
      <w:keepLines/>
      <w:numPr>
        <w:ilvl w:val="8"/>
        <w:numId w:val="1"/>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3FA"/>
    <w:rPr>
      <w:rFonts w:ascii="Arial" w:eastAsia="Calibri" w:hAnsi="Arial" w:cs="Arial"/>
      <w:b/>
      <w:bCs/>
      <w:sz w:val="24"/>
      <w:szCs w:val="28"/>
    </w:rPr>
  </w:style>
  <w:style w:type="character" w:customStyle="1" w:styleId="Heading2Char">
    <w:name w:val="Heading 2 Char"/>
    <w:basedOn w:val="DefaultParagraphFont"/>
    <w:link w:val="Heading2"/>
    <w:uiPriority w:val="9"/>
    <w:rsid w:val="00C9715D"/>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EC6EF8"/>
    <w:rPr>
      <w:rFonts w:ascii="Arial" w:hAnsi="Arial"/>
      <w:bCs/>
      <w:i/>
    </w:rPr>
  </w:style>
  <w:style w:type="character" w:customStyle="1" w:styleId="Heading4Char">
    <w:name w:val="Heading 4 Char"/>
    <w:basedOn w:val="DefaultParagraphFont"/>
    <w:link w:val="Heading4"/>
    <w:uiPriority w:val="9"/>
    <w:rsid w:val="00B038DB"/>
    <w:rPr>
      <w:rFonts w:ascii="Arial" w:eastAsiaTheme="majorEastAsia" w:hAnsi="Arial" w:cstheme="majorBidi"/>
      <w:bCs/>
      <w:iCs/>
    </w:rPr>
  </w:style>
  <w:style w:type="character" w:customStyle="1" w:styleId="Heading5Char">
    <w:name w:val="Heading 5 Char"/>
    <w:basedOn w:val="DefaultParagraphFont"/>
    <w:link w:val="Heading5"/>
    <w:uiPriority w:val="9"/>
    <w:semiHidden/>
    <w:rsid w:val="00B038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38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38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38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38DB"/>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B038DB"/>
  </w:style>
  <w:style w:type="numbering" w:customStyle="1" w:styleId="PhDHeadings">
    <w:name w:val="PhDHeadings"/>
    <w:uiPriority w:val="99"/>
    <w:rsid w:val="00B038DB"/>
    <w:pPr>
      <w:numPr>
        <w:numId w:val="2"/>
      </w:numPr>
    </w:pPr>
  </w:style>
  <w:style w:type="paragraph" w:customStyle="1" w:styleId="PhDParagraphnoIdent">
    <w:name w:val="PhD Paragraph no Ident"/>
    <w:basedOn w:val="Normal"/>
    <w:qFormat/>
    <w:rsid w:val="00536D52"/>
    <w:pPr>
      <w:spacing w:after="0" w:line="480" w:lineRule="auto"/>
      <w:jc w:val="both"/>
    </w:pPr>
    <w:rPr>
      <w:rFonts w:ascii="Arial" w:hAnsi="Arial"/>
    </w:rPr>
  </w:style>
  <w:style w:type="paragraph" w:customStyle="1" w:styleId="PhDParagraph">
    <w:name w:val="PhD Paragraph"/>
    <w:basedOn w:val="Normal"/>
    <w:next w:val="PhDParagraphnoIdent"/>
    <w:qFormat/>
    <w:rsid w:val="00536D52"/>
    <w:pPr>
      <w:keepNext/>
      <w:spacing w:after="0" w:line="480" w:lineRule="auto"/>
      <w:ind w:firstLine="709"/>
      <w:jc w:val="both"/>
    </w:pPr>
    <w:rPr>
      <w:rFonts w:ascii="Arial" w:hAnsi="Arial"/>
    </w:rPr>
  </w:style>
  <w:style w:type="paragraph" w:customStyle="1" w:styleId="PhDQuote">
    <w:name w:val="PhD Quote"/>
    <w:basedOn w:val="Normal"/>
    <w:qFormat/>
    <w:rsid w:val="00EF4EE7"/>
    <w:pPr>
      <w:spacing w:before="220" w:after="220" w:line="480" w:lineRule="auto"/>
      <w:ind w:left="709" w:right="709"/>
      <w:jc w:val="both"/>
    </w:pPr>
    <w:rPr>
      <w:rFonts w:ascii="Arial" w:hAnsi="Arial"/>
      <w:sz w:val="20"/>
    </w:rPr>
  </w:style>
  <w:style w:type="paragraph" w:styleId="Title">
    <w:name w:val="Title"/>
    <w:basedOn w:val="Normal"/>
    <w:next w:val="Normal"/>
    <w:link w:val="TitleChar"/>
    <w:uiPriority w:val="10"/>
    <w:qFormat/>
    <w:rsid w:val="00B038DB"/>
    <w:pPr>
      <w:keepNext/>
      <w:keepLines/>
      <w:pBdr>
        <w:bottom w:val="single" w:sz="8" w:space="5" w:color="auto"/>
      </w:pBdr>
      <w:spacing w:after="0" w:line="360" w:lineRule="auto"/>
      <w:contextualSpacing/>
      <w:jc w:val="center"/>
    </w:pPr>
    <w:rPr>
      <w:rFonts w:ascii="Book Antiqua" w:eastAsia="Arial" w:hAnsi="Book Antiqua" w:cstheme="majorBidi"/>
      <w:b/>
      <w:i/>
      <w:spacing w:val="5"/>
      <w:kern w:val="28"/>
      <w:sz w:val="44"/>
      <w:szCs w:val="44"/>
      <w:lang w:eastAsia="en-GB"/>
    </w:rPr>
  </w:style>
  <w:style w:type="character" w:customStyle="1" w:styleId="TitleChar">
    <w:name w:val="Title Char"/>
    <w:basedOn w:val="DefaultParagraphFont"/>
    <w:link w:val="Title"/>
    <w:uiPriority w:val="10"/>
    <w:rsid w:val="00B038DB"/>
    <w:rPr>
      <w:rFonts w:ascii="Book Antiqua" w:eastAsia="Arial" w:hAnsi="Book Antiqua" w:cstheme="majorBidi"/>
      <w:b/>
      <w:i/>
      <w:spacing w:val="5"/>
      <w:kern w:val="28"/>
      <w:sz w:val="44"/>
      <w:szCs w:val="44"/>
      <w:lang w:eastAsia="en-GB"/>
    </w:rPr>
  </w:style>
  <w:style w:type="paragraph" w:styleId="FootnoteText">
    <w:name w:val="footnote text"/>
    <w:aliases w:val="Footnote text,Reference,Fußnote,Footnote Text Char Char,Footnote Text Char Char Char Char,Footnote Text Char Char Char,Fußnotentextf,Geneva 9,Font: Geneva 9,Boston 10,f,Fu§notentext Char,Footnote,fn"/>
    <w:basedOn w:val="Normal"/>
    <w:link w:val="FootnoteTextChar"/>
    <w:uiPriority w:val="99"/>
    <w:unhideWhenUsed/>
    <w:rsid w:val="00B038DB"/>
    <w:pPr>
      <w:spacing w:after="0" w:line="240" w:lineRule="auto"/>
      <w:jc w:val="both"/>
    </w:pPr>
    <w:rPr>
      <w:rFonts w:ascii="Arial" w:hAnsi="Arial"/>
      <w:sz w:val="20"/>
      <w:szCs w:val="20"/>
    </w:rPr>
  </w:style>
  <w:style w:type="character" w:customStyle="1" w:styleId="FootnoteTextChar">
    <w:name w:val="Footnote Text Char"/>
    <w:aliases w:val="Footnote text Char,Reference Char,Fußnote Char,Footnote Text Char Char Char1,Footnote Text Char Char Char Char Char,Footnote Text Char Char Char Char1,Fußnotentextf Char,Geneva 9 Char,Font: Geneva 9 Char,Boston 10 Char,f Char,fn Char"/>
    <w:basedOn w:val="DefaultParagraphFont"/>
    <w:link w:val="FootnoteText"/>
    <w:uiPriority w:val="99"/>
    <w:rsid w:val="00B038DB"/>
    <w:rPr>
      <w:rFonts w:ascii="Arial" w:hAnsi="Arial"/>
      <w:sz w:val="20"/>
      <w:szCs w:val="20"/>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ftref,R"/>
    <w:basedOn w:val="DefaultParagraphFont"/>
    <w:uiPriority w:val="99"/>
    <w:unhideWhenUsed/>
    <w:rsid w:val="00B038DB"/>
    <w:rPr>
      <w:vertAlign w:val="superscript"/>
    </w:rPr>
  </w:style>
  <w:style w:type="paragraph" w:customStyle="1" w:styleId="PhDFootnotes">
    <w:name w:val="PhD Footnotes"/>
    <w:basedOn w:val="Normal"/>
    <w:link w:val="PhDFootnotesChar"/>
    <w:qFormat/>
    <w:rsid w:val="00A82313"/>
    <w:pPr>
      <w:spacing w:after="0" w:line="480" w:lineRule="auto"/>
      <w:jc w:val="both"/>
    </w:pPr>
    <w:rPr>
      <w:rFonts w:ascii="Arial" w:hAnsi="Arial"/>
      <w:sz w:val="16"/>
    </w:rPr>
  </w:style>
  <w:style w:type="numbering" w:customStyle="1" w:styleId="NoList11">
    <w:name w:val="No List11"/>
    <w:next w:val="NoList"/>
    <w:uiPriority w:val="99"/>
    <w:semiHidden/>
    <w:unhideWhenUsed/>
    <w:rsid w:val="00B038DB"/>
  </w:style>
  <w:style w:type="character" w:customStyle="1" w:styleId="PhDFootnotesChar">
    <w:name w:val="PhD Footnotes Char"/>
    <w:basedOn w:val="DefaultParagraphFont"/>
    <w:link w:val="PhDFootnotes"/>
    <w:rsid w:val="00A82313"/>
    <w:rPr>
      <w:rFonts w:ascii="Arial" w:hAnsi="Arial"/>
      <w:sz w:val="16"/>
    </w:rPr>
  </w:style>
  <w:style w:type="paragraph" w:styleId="Header">
    <w:name w:val="header"/>
    <w:basedOn w:val="Normal"/>
    <w:link w:val="HeaderChar"/>
    <w:uiPriority w:val="99"/>
    <w:unhideWhenUsed/>
    <w:rsid w:val="00B038DB"/>
    <w:pPr>
      <w:tabs>
        <w:tab w:val="center" w:pos="4513"/>
        <w:tab w:val="right" w:pos="9026"/>
      </w:tabs>
      <w:spacing w:after="0" w:line="240" w:lineRule="auto"/>
      <w:jc w:val="both"/>
    </w:pPr>
    <w:rPr>
      <w:rFonts w:ascii="Arial" w:hAnsi="Arial"/>
    </w:rPr>
  </w:style>
  <w:style w:type="character" w:customStyle="1" w:styleId="HeaderChar">
    <w:name w:val="Header Char"/>
    <w:basedOn w:val="DefaultParagraphFont"/>
    <w:link w:val="Header"/>
    <w:uiPriority w:val="99"/>
    <w:rsid w:val="00B038DB"/>
    <w:rPr>
      <w:rFonts w:ascii="Arial" w:hAnsi="Arial"/>
    </w:rPr>
  </w:style>
  <w:style w:type="paragraph" w:styleId="Footer">
    <w:name w:val="footer"/>
    <w:basedOn w:val="Normal"/>
    <w:link w:val="FooterChar"/>
    <w:uiPriority w:val="99"/>
    <w:unhideWhenUsed/>
    <w:rsid w:val="00B038DB"/>
    <w:pPr>
      <w:tabs>
        <w:tab w:val="center" w:pos="4513"/>
        <w:tab w:val="right" w:pos="9026"/>
      </w:tabs>
      <w:spacing w:after="0" w:line="240" w:lineRule="auto"/>
      <w:jc w:val="both"/>
    </w:pPr>
    <w:rPr>
      <w:rFonts w:ascii="Arial" w:hAnsi="Arial"/>
    </w:rPr>
  </w:style>
  <w:style w:type="character" w:customStyle="1" w:styleId="FooterChar">
    <w:name w:val="Footer Char"/>
    <w:basedOn w:val="DefaultParagraphFont"/>
    <w:link w:val="Footer"/>
    <w:uiPriority w:val="99"/>
    <w:rsid w:val="00B038DB"/>
    <w:rPr>
      <w:rFonts w:ascii="Arial" w:hAnsi="Arial"/>
    </w:rPr>
  </w:style>
  <w:style w:type="paragraph" w:customStyle="1" w:styleId="Default">
    <w:name w:val="Default"/>
    <w:rsid w:val="00B038DB"/>
    <w:pPr>
      <w:autoSpaceDE w:val="0"/>
      <w:autoSpaceDN w:val="0"/>
      <w:adjustRightInd w:val="0"/>
      <w:spacing w:after="0" w:line="240" w:lineRule="auto"/>
    </w:pPr>
    <w:rPr>
      <w:rFonts w:ascii="Palatino" w:hAnsi="Palatino" w:cs="Palatino"/>
      <w:color w:val="000000"/>
      <w:sz w:val="24"/>
      <w:szCs w:val="24"/>
    </w:rPr>
  </w:style>
  <w:style w:type="character" w:styleId="Hyperlink">
    <w:name w:val="Hyperlink"/>
    <w:basedOn w:val="DefaultParagraphFont"/>
    <w:uiPriority w:val="99"/>
    <w:unhideWhenUsed/>
    <w:rsid w:val="00B038DB"/>
    <w:rPr>
      <w:color w:val="0000FF" w:themeColor="hyperlink"/>
      <w:u w:val="single"/>
    </w:rPr>
  </w:style>
  <w:style w:type="character" w:customStyle="1" w:styleId="ft">
    <w:name w:val="ft"/>
    <w:basedOn w:val="DefaultParagraphFont"/>
    <w:rsid w:val="00B038DB"/>
  </w:style>
  <w:style w:type="paragraph" w:styleId="ListParagraph">
    <w:name w:val="List Paragraph"/>
    <w:basedOn w:val="Normal"/>
    <w:uiPriority w:val="34"/>
    <w:qFormat/>
    <w:rsid w:val="00B038DB"/>
    <w:pPr>
      <w:spacing w:after="120" w:line="360" w:lineRule="auto"/>
      <w:ind w:left="720"/>
      <w:contextualSpacing/>
      <w:jc w:val="both"/>
    </w:pPr>
    <w:rPr>
      <w:rFonts w:ascii="Arial" w:hAnsi="Arial"/>
    </w:rPr>
  </w:style>
  <w:style w:type="character" w:styleId="CommentReference">
    <w:name w:val="annotation reference"/>
    <w:basedOn w:val="DefaultParagraphFont"/>
    <w:uiPriority w:val="99"/>
    <w:semiHidden/>
    <w:unhideWhenUsed/>
    <w:rsid w:val="00B038DB"/>
    <w:rPr>
      <w:sz w:val="16"/>
      <w:szCs w:val="16"/>
    </w:rPr>
  </w:style>
  <w:style w:type="paragraph" w:styleId="CommentText">
    <w:name w:val="annotation text"/>
    <w:basedOn w:val="Normal"/>
    <w:link w:val="CommentTextChar"/>
    <w:uiPriority w:val="99"/>
    <w:semiHidden/>
    <w:unhideWhenUsed/>
    <w:rsid w:val="00B038DB"/>
    <w:pPr>
      <w:spacing w:line="240" w:lineRule="auto"/>
      <w:jc w:val="both"/>
    </w:pPr>
    <w:rPr>
      <w:rFonts w:ascii="Arial" w:hAnsi="Arial"/>
      <w:sz w:val="20"/>
      <w:szCs w:val="20"/>
    </w:rPr>
  </w:style>
  <w:style w:type="character" w:customStyle="1" w:styleId="CommentTextChar">
    <w:name w:val="Comment Text Char"/>
    <w:basedOn w:val="DefaultParagraphFont"/>
    <w:link w:val="CommentText"/>
    <w:uiPriority w:val="99"/>
    <w:semiHidden/>
    <w:rsid w:val="00B038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38DB"/>
    <w:rPr>
      <w:b/>
      <w:bCs/>
    </w:rPr>
  </w:style>
  <w:style w:type="character" w:customStyle="1" w:styleId="CommentSubjectChar">
    <w:name w:val="Comment Subject Char"/>
    <w:basedOn w:val="CommentTextChar"/>
    <w:link w:val="CommentSubject"/>
    <w:uiPriority w:val="99"/>
    <w:semiHidden/>
    <w:rsid w:val="00B038DB"/>
    <w:rPr>
      <w:rFonts w:ascii="Arial" w:hAnsi="Arial"/>
      <w:b/>
      <w:bCs/>
      <w:sz w:val="20"/>
      <w:szCs w:val="20"/>
    </w:rPr>
  </w:style>
  <w:style w:type="paragraph" w:styleId="BalloonText">
    <w:name w:val="Balloon Text"/>
    <w:basedOn w:val="Normal"/>
    <w:link w:val="BalloonTextChar"/>
    <w:uiPriority w:val="99"/>
    <w:semiHidden/>
    <w:unhideWhenUsed/>
    <w:rsid w:val="00B038DB"/>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B"/>
    <w:rPr>
      <w:rFonts w:ascii="Tahoma" w:hAnsi="Tahoma" w:cs="Tahoma"/>
      <w:sz w:val="16"/>
      <w:szCs w:val="16"/>
    </w:rPr>
  </w:style>
  <w:style w:type="numbering" w:customStyle="1" w:styleId="NoList2">
    <w:name w:val="No List2"/>
    <w:next w:val="NoList"/>
    <w:uiPriority w:val="99"/>
    <w:semiHidden/>
    <w:unhideWhenUsed/>
    <w:rsid w:val="00B038DB"/>
  </w:style>
  <w:style w:type="paragraph" w:customStyle="1" w:styleId="HTMLPreformatted1">
    <w:name w:val="HTML Preformatted1"/>
    <w:basedOn w:val="Normal"/>
    <w:next w:val="HTMLPreformatted"/>
    <w:link w:val="HTMLPreformattedChar"/>
    <w:uiPriority w:val="99"/>
    <w:semiHidden/>
    <w:unhideWhenUsed/>
    <w:rsid w:val="00B038DB"/>
    <w:pPr>
      <w:keepNext/>
      <w:widowControl w:val="0"/>
      <w:spacing w:after="0" w:line="240" w:lineRule="auto"/>
      <w:jc w:val="both"/>
    </w:pPr>
    <w:rPr>
      <w:rFonts w:ascii="Consolas" w:hAnsi="Consolas" w:cs="Consolas"/>
      <w:sz w:val="20"/>
      <w:szCs w:val="20"/>
    </w:rPr>
  </w:style>
  <w:style w:type="character" w:customStyle="1" w:styleId="HTMLPreformattedChar">
    <w:name w:val="HTML Preformatted Char"/>
    <w:basedOn w:val="DefaultParagraphFont"/>
    <w:link w:val="HTMLPreformatted1"/>
    <w:uiPriority w:val="99"/>
    <w:semiHidden/>
    <w:rsid w:val="00B038DB"/>
    <w:rPr>
      <w:rFonts w:ascii="Consolas" w:hAnsi="Consolas" w:cs="Consolas"/>
      <w:sz w:val="20"/>
      <w:szCs w:val="20"/>
    </w:rPr>
  </w:style>
  <w:style w:type="paragraph" w:styleId="HTMLPreformatted">
    <w:name w:val="HTML Preformatted"/>
    <w:basedOn w:val="Normal"/>
    <w:link w:val="HTMLPreformattedChar1"/>
    <w:uiPriority w:val="99"/>
    <w:semiHidden/>
    <w:unhideWhenUsed/>
    <w:rsid w:val="00B038DB"/>
    <w:pPr>
      <w:spacing w:after="0" w:line="240" w:lineRule="auto"/>
      <w:jc w:val="both"/>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B038DB"/>
    <w:rPr>
      <w:rFonts w:ascii="Consolas" w:hAnsi="Consolas" w:cs="Consolas"/>
      <w:sz w:val="20"/>
      <w:szCs w:val="20"/>
    </w:rPr>
  </w:style>
  <w:style w:type="paragraph" w:styleId="TOC1">
    <w:name w:val="toc 1"/>
    <w:basedOn w:val="Normal"/>
    <w:next w:val="Normal"/>
    <w:autoRedefine/>
    <w:uiPriority w:val="39"/>
    <w:unhideWhenUsed/>
    <w:rsid w:val="00B038DB"/>
    <w:pPr>
      <w:spacing w:before="160" w:after="100" w:line="360" w:lineRule="auto"/>
      <w:jc w:val="both"/>
    </w:pPr>
    <w:rPr>
      <w:rFonts w:ascii="Arial" w:hAnsi="Arial"/>
      <w:b/>
    </w:rPr>
  </w:style>
  <w:style w:type="paragraph" w:styleId="TOC2">
    <w:name w:val="toc 2"/>
    <w:basedOn w:val="Normal"/>
    <w:next w:val="Normal"/>
    <w:autoRedefine/>
    <w:uiPriority w:val="39"/>
    <w:unhideWhenUsed/>
    <w:rsid w:val="00B038DB"/>
    <w:pPr>
      <w:tabs>
        <w:tab w:val="left" w:pos="426"/>
        <w:tab w:val="right" w:leader="dot" w:pos="9060"/>
      </w:tabs>
      <w:spacing w:after="100" w:line="360" w:lineRule="auto"/>
    </w:pPr>
    <w:rPr>
      <w:rFonts w:ascii="Arial" w:hAnsi="Arial"/>
    </w:rPr>
  </w:style>
  <w:style w:type="paragraph" w:styleId="TOC3">
    <w:name w:val="toc 3"/>
    <w:basedOn w:val="Normal"/>
    <w:next w:val="Normal"/>
    <w:autoRedefine/>
    <w:uiPriority w:val="39"/>
    <w:unhideWhenUsed/>
    <w:rsid w:val="00B038DB"/>
    <w:pPr>
      <w:tabs>
        <w:tab w:val="left" w:pos="1134"/>
        <w:tab w:val="right" w:leader="dot" w:pos="9060"/>
      </w:tabs>
      <w:spacing w:after="100" w:line="360" w:lineRule="auto"/>
      <w:ind w:left="426"/>
      <w:jc w:val="both"/>
    </w:pPr>
    <w:rPr>
      <w:rFonts w:ascii="Arial" w:hAnsi="Arial"/>
    </w:rPr>
  </w:style>
  <w:style w:type="character" w:customStyle="1" w:styleId="citation">
    <w:name w:val="citation"/>
    <w:basedOn w:val="DefaultParagraphFont"/>
    <w:rsid w:val="00B038DB"/>
    <w:rPr>
      <w:i w:val="0"/>
      <w:iCs w:val="0"/>
    </w:rPr>
  </w:style>
  <w:style w:type="paragraph" w:styleId="TOC4">
    <w:name w:val="toc 4"/>
    <w:basedOn w:val="Normal"/>
    <w:next w:val="Normal"/>
    <w:autoRedefine/>
    <w:uiPriority w:val="39"/>
    <w:unhideWhenUsed/>
    <w:rsid w:val="00B038DB"/>
    <w:pPr>
      <w:tabs>
        <w:tab w:val="left" w:pos="1843"/>
        <w:tab w:val="right" w:leader="dot" w:pos="9060"/>
      </w:tabs>
      <w:spacing w:after="100"/>
      <w:ind w:left="1134"/>
      <w:jc w:val="both"/>
    </w:pPr>
    <w:rPr>
      <w:rFonts w:ascii="Arial" w:hAnsi="Arial"/>
      <w:i/>
    </w:rPr>
  </w:style>
  <w:style w:type="character" w:styleId="HTMLCite">
    <w:name w:val="HTML Cite"/>
    <w:basedOn w:val="DefaultParagraphFont"/>
    <w:uiPriority w:val="99"/>
    <w:semiHidden/>
    <w:unhideWhenUsed/>
    <w:rsid w:val="00B038DB"/>
    <w:rPr>
      <w:i/>
      <w:iCs/>
    </w:rPr>
  </w:style>
  <w:style w:type="paragraph" w:customStyle="1" w:styleId="FootnoteText1">
    <w:name w:val="Footnote Text1"/>
    <w:basedOn w:val="Normal"/>
    <w:next w:val="FootnoteText"/>
    <w:uiPriority w:val="99"/>
    <w:semiHidden/>
    <w:unhideWhenUsed/>
    <w:rsid w:val="00B038DB"/>
    <w:pPr>
      <w:keepNext/>
      <w:widowControl w:val="0"/>
      <w:spacing w:after="0" w:line="240" w:lineRule="auto"/>
      <w:jc w:val="both"/>
    </w:pPr>
    <w:rPr>
      <w:rFonts w:cs="Times New Roman"/>
      <w:sz w:val="20"/>
      <w:szCs w:val="20"/>
    </w:rPr>
  </w:style>
  <w:style w:type="paragraph" w:styleId="TOC5">
    <w:name w:val="toc 5"/>
    <w:basedOn w:val="Normal"/>
    <w:next w:val="Normal"/>
    <w:autoRedefine/>
    <w:uiPriority w:val="39"/>
    <w:unhideWhenUsed/>
    <w:rsid w:val="00B038DB"/>
    <w:pPr>
      <w:spacing w:after="100"/>
      <w:ind w:left="880"/>
    </w:pPr>
    <w:rPr>
      <w:rFonts w:eastAsiaTheme="minorEastAsia"/>
      <w:lang w:eastAsia="en-GB"/>
    </w:rPr>
  </w:style>
  <w:style w:type="paragraph" w:styleId="TOC6">
    <w:name w:val="toc 6"/>
    <w:basedOn w:val="Normal"/>
    <w:next w:val="Normal"/>
    <w:autoRedefine/>
    <w:uiPriority w:val="39"/>
    <w:unhideWhenUsed/>
    <w:rsid w:val="00B038DB"/>
    <w:pPr>
      <w:spacing w:after="100"/>
      <w:ind w:left="1100"/>
    </w:pPr>
    <w:rPr>
      <w:rFonts w:eastAsiaTheme="minorEastAsia"/>
      <w:lang w:eastAsia="en-GB"/>
    </w:rPr>
  </w:style>
  <w:style w:type="paragraph" w:styleId="TOC7">
    <w:name w:val="toc 7"/>
    <w:basedOn w:val="Normal"/>
    <w:next w:val="Normal"/>
    <w:autoRedefine/>
    <w:uiPriority w:val="39"/>
    <w:unhideWhenUsed/>
    <w:rsid w:val="00B038DB"/>
    <w:pPr>
      <w:spacing w:after="100"/>
      <w:ind w:left="1320"/>
    </w:pPr>
    <w:rPr>
      <w:rFonts w:eastAsiaTheme="minorEastAsia"/>
      <w:lang w:eastAsia="en-GB"/>
    </w:rPr>
  </w:style>
  <w:style w:type="paragraph" w:styleId="TOC8">
    <w:name w:val="toc 8"/>
    <w:basedOn w:val="Normal"/>
    <w:next w:val="Normal"/>
    <w:autoRedefine/>
    <w:uiPriority w:val="39"/>
    <w:unhideWhenUsed/>
    <w:rsid w:val="00B038DB"/>
    <w:pPr>
      <w:spacing w:after="100"/>
      <w:ind w:left="1540"/>
    </w:pPr>
    <w:rPr>
      <w:rFonts w:eastAsiaTheme="minorEastAsia"/>
      <w:lang w:eastAsia="en-GB"/>
    </w:rPr>
  </w:style>
  <w:style w:type="paragraph" w:styleId="TOC9">
    <w:name w:val="toc 9"/>
    <w:basedOn w:val="Normal"/>
    <w:next w:val="Normal"/>
    <w:autoRedefine/>
    <w:uiPriority w:val="39"/>
    <w:unhideWhenUsed/>
    <w:rsid w:val="00B038DB"/>
    <w:pPr>
      <w:spacing w:after="100"/>
      <w:ind w:left="1760"/>
    </w:pPr>
    <w:rPr>
      <w:rFonts w:eastAsiaTheme="minorEastAsia"/>
      <w:lang w:eastAsia="en-GB"/>
    </w:rPr>
  </w:style>
  <w:style w:type="numbering" w:customStyle="1" w:styleId="PhDHeadings1">
    <w:name w:val="PhDHeadings1"/>
    <w:uiPriority w:val="99"/>
    <w:rsid w:val="00B038DB"/>
  </w:style>
  <w:style w:type="numbering" w:customStyle="1" w:styleId="PhDHeadings2">
    <w:name w:val="PhDHeadings2"/>
    <w:uiPriority w:val="99"/>
    <w:rsid w:val="00B038DB"/>
  </w:style>
  <w:style w:type="numbering" w:customStyle="1" w:styleId="PhDHeadings3">
    <w:name w:val="PhDHeadings3"/>
    <w:uiPriority w:val="99"/>
    <w:rsid w:val="00B038DB"/>
  </w:style>
  <w:style w:type="numbering" w:customStyle="1" w:styleId="PhDHeadings4">
    <w:name w:val="PhDHeadings4"/>
    <w:uiPriority w:val="99"/>
    <w:rsid w:val="00B038DB"/>
  </w:style>
  <w:style w:type="numbering" w:customStyle="1" w:styleId="PhDHeadings5">
    <w:name w:val="PhDHeadings5"/>
    <w:uiPriority w:val="99"/>
    <w:rsid w:val="006A6F16"/>
  </w:style>
  <w:style w:type="numbering" w:customStyle="1" w:styleId="PhDHeadings6">
    <w:name w:val="PhDHeadings6"/>
    <w:uiPriority w:val="99"/>
    <w:rsid w:val="004358CB"/>
  </w:style>
  <w:style w:type="numbering" w:customStyle="1" w:styleId="PhDHeadings7">
    <w:name w:val="PhDHeadings7"/>
    <w:uiPriority w:val="99"/>
    <w:rsid w:val="00FB6F97"/>
  </w:style>
  <w:style w:type="numbering" w:customStyle="1" w:styleId="PhDHeadings8">
    <w:name w:val="PhDHeadings8"/>
    <w:uiPriority w:val="99"/>
    <w:rsid w:val="008A15BF"/>
  </w:style>
  <w:style w:type="numbering" w:customStyle="1" w:styleId="PhDHeadings9">
    <w:name w:val="PhDHeadings9"/>
    <w:uiPriority w:val="99"/>
    <w:rsid w:val="007D1407"/>
  </w:style>
  <w:style w:type="numbering" w:customStyle="1" w:styleId="NoList12">
    <w:name w:val="No List12"/>
    <w:next w:val="NoList"/>
    <w:uiPriority w:val="99"/>
    <w:semiHidden/>
    <w:unhideWhenUsed/>
    <w:rsid w:val="00D61DB6"/>
  </w:style>
  <w:style w:type="numbering" w:customStyle="1" w:styleId="PhDHeadings10">
    <w:name w:val="PhDHeadings10"/>
    <w:uiPriority w:val="99"/>
    <w:rsid w:val="00693526"/>
  </w:style>
  <w:style w:type="numbering" w:customStyle="1" w:styleId="PhDHeadings11">
    <w:name w:val="PhDHeadings11"/>
    <w:uiPriority w:val="99"/>
    <w:rsid w:val="00A91D2D"/>
  </w:style>
  <w:style w:type="numbering" w:customStyle="1" w:styleId="PhDHeadings12">
    <w:name w:val="PhDHeadings12"/>
    <w:uiPriority w:val="99"/>
    <w:rsid w:val="007A3150"/>
  </w:style>
  <w:style w:type="paragraph" w:styleId="NoSpacing">
    <w:name w:val="No Spacing"/>
    <w:uiPriority w:val="1"/>
    <w:qFormat/>
    <w:rsid w:val="0007031E"/>
    <w:pPr>
      <w:spacing w:after="0" w:line="240" w:lineRule="auto"/>
    </w:pPr>
  </w:style>
  <w:style w:type="numbering" w:customStyle="1" w:styleId="PhDHeadings13">
    <w:name w:val="PhDHeadings13"/>
    <w:uiPriority w:val="99"/>
    <w:rsid w:val="00397C28"/>
  </w:style>
  <w:style w:type="numbering" w:customStyle="1" w:styleId="PhDHeadings14">
    <w:name w:val="PhDHeadings14"/>
    <w:uiPriority w:val="99"/>
    <w:rsid w:val="000055A8"/>
  </w:style>
  <w:style w:type="paragraph" w:styleId="ListBullet">
    <w:name w:val="List Bullet"/>
    <w:basedOn w:val="Normal"/>
    <w:uiPriority w:val="99"/>
    <w:unhideWhenUsed/>
    <w:rsid w:val="009B586E"/>
    <w:pPr>
      <w:numPr>
        <w:numId w:val="17"/>
      </w:numPr>
      <w:contextualSpacing/>
    </w:pPr>
  </w:style>
  <w:style w:type="character" w:styleId="FollowedHyperlink">
    <w:name w:val="FollowedHyperlink"/>
    <w:basedOn w:val="DefaultParagraphFont"/>
    <w:uiPriority w:val="99"/>
    <w:semiHidden/>
    <w:unhideWhenUsed/>
    <w:rsid w:val="004A76B5"/>
    <w:rPr>
      <w:color w:val="800080" w:themeColor="followedHyperlink"/>
      <w:u w:val="single"/>
    </w:rPr>
  </w:style>
  <w:style w:type="character" w:customStyle="1" w:styleId="DeltaViewInsertion">
    <w:name w:val="DeltaView Insertion"/>
    <w:uiPriority w:val="99"/>
    <w:rsid w:val="00A0175C"/>
    <w:rPr>
      <w:b/>
      <w:color w:val="0000FF"/>
      <w:u w:val="double"/>
    </w:rPr>
  </w:style>
  <w:style w:type="character" w:customStyle="1" w:styleId="DeltaViewDeletion">
    <w:name w:val="DeltaView Deletion"/>
    <w:uiPriority w:val="99"/>
    <w:rsid w:val="00A0175C"/>
    <w:rPr>
      <w:b/>
      <w:strike/>
      <w:color w:val="FF0000"/>
    </w:rPr>
  </w:style>
  <w:style w:type="table" w:styleId="TableGrid">
    <w:name w:val="Table Grid"/>
    <w:basedOn w:val="TableNormal"/>
    <w:uiPriority w:val="59"/>
    <w:rsid w:val="0031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CB"/>
  </w:style>
  <w:style w:type="paragraph" w:styleId="Heading1">
    <w:name w:val="heading 1"/>
    <w:basedOn w:val="Normal"/>
    <w:next w:val="PhDParagraphnoIdent"/>
    <w:link w:val="Heading1Char"/>
    <w:autoRedefine/>
    <w:uiPriority w:val="9"/>
    <w:qFormat/>
    <w:rsid w:val="007453FA"/>
    <w:pPr>
      <w:keepNext/>
      <w:keepLines/>
      <w:numPr>
        <w:numId w:val="2"/>
      </w:numPr>
      <w:spacing w:after="0" w:line="480" w:lineRule="auto"/>
      <w:ind w:left="709"/>
      <w:jc w:val="both"/>
      <w:outlineLvl w:val="0"/>
    </w:pPr>
    <w:rPr>
      <w:rFonts w:ascii="Arial" w:eastAsia="Calibri" w:hAnsi="Arial" w:cs="Arial"/>
      <w:b/>
      <w:bCs/>
      <w:sz w:val="24"/>
      <w:szCs w:val="28"/>
    </w:rPr>
  </w:style>
  <w:style w:type="paragraph" w:styleId="Heading2">
    <w:name w:val="heading 2"/>
    <w:basedOn w:val="Normal"/>
    <w:next w:val="PhDParagraphnoIdent"/>
    <w:link w:val="Heading2Char"/>
    <w:autoRedefine/>
    <w:uiPriority w:val="9"/>
    <w:unhideWhenUsed/>
    <w:qFormat/>
    <w:rsid w:val="00C9715D"/>
    <w:pPr>
      <w:keepNext/>
      <w:keepLines/>
      <w:spacing w:before="200" w:after="0" w:line="360" w:lineRule="auto"/>
      <w:ind w:left="709" w:hanging="709"/>
      <w:jc w:val="both"/>
      <w:outlineLvl w:val="1"/>
    </w:pPr>
    <w:rPr>
      <w:rFonts w:ascii="Arial" w:eastAsiaTheme="majorEastAsia" w:hAnsi="Arial" w:cstheme="majorBidi"/>
      <w:b/>
      <w:bCs/>
      <w:sz w:val="24"/>
      <w:szCs w:val="26"/>
    </w:rPr>
  </w:style>
  <w:style w:type="paragraph" w:styleId="Heading3">
    <w:name w:val="heading 3"/>
    <w:basedOn w:val="Normal"/>
    <w:next w:val="PhDParagraphnoIdent"/>
    <w:link w:val="Heading3Char"/>
    <w:autoRedefine/>
    <w:uiPriority w:val="9"/>
    <w:unhideWhenUsed/>
    <w:qFormat/>
    <w:rsid w:val="00EC6EF8"/>
    <w:pPr>
      <w:keepNext/>
      <w:keepLines/>
      <w:numPr>
        <w:ilvl w:val="2"/>
        <w:numId w:val="2"/>
      </w:numPr>
      <w:spacing w:before="200" w:after="0" w:line="480" w:lineRule="auto"/>
      <w:ind w:left="1503" w:hanging="794"/>
      <w:jc w:val="both"/>
      <w:outlineLvl w:val="2"/>
    </w:pPr>
    <w:rPr>
      <w:rFonts w:ascii="Arial" w:hAnsi="Arial"/>
      <w:bCs/>
      <w:i/>
    </w:rPr>
  </w:style>
  <w:style w:type="paragraph" w:styleId="Heading4">
    <w:name w:val="heading 4"/>
    <w:basedOn w:val="Normal"/>
    <w:next w:val="PhDParagraphnoIdent"/>
    <w:link w:val="Heading4Char"/>
    <w:uiPriority w:val="9"/>
    <w:unhideWhenUsed/>
    <w:qFormat/>
    <w:rsid w:val="00B038DB"/>
    <w:pPr>
      <w:keepNext/>
      <w:keepLines/>
      <w:spacing w:before="200" w:after="0" w:line="480" w:lineRule="auto"/>
      <w:jc w:val="both"/>
      <w:outlineLvl w:val="3"/>
    </w:pPr>
    <w:rPr>
      <w:rFonts w:ascii="Arial" w:eastAsiaTheme="majorEastAsia" w:hAnsi="Arial" w:cstheme="majorBidi"/>
      <w:bCs/>
      <w:iCs/>
    </w:rPr>
  </w:style>
  <w:style w:type="paragraph" w:styleId="Heading5">
    <w:name w:val="heading 5"/>
    <w:basedOn w:val="Normal"/>
    <w:next w:val="Normal"/>
    <w:link w:val="Heading5Char"/>
    <w:uiPriority w:val="9"/>
    <w:semiHidden/>
    <w:unhideWhenUsed/>
    <w:qFormat/>
    <w:rsid w:val="00B038DB"/>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38DB"/>
    <w:pPr>
      <w:keepNext/>
      <w:keepLines/>
      <w:numPr>
        <w:ilvl w:val="5"/>
        <w:numId w:val="1"/>
      </w:numPr>
      <w:spacing w:before="200" w:after="0"/>
      <w:jc w:val="both"/>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38DB"/>
    <w:pPr>
      <w:keepNext/>
      <w:keepLines/>
      <w:numPr>
        <w:ilvl w:val="6"/>
        <w:numId w:val="1"/>
      </w:numPr>
      <w:spacing w:before="200" w:after="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38DB"/>
    <w:pPr>
      <w:keepNext/>
      <w:keepLines/>
      <w:numPr>
        <w:ilvl w:val="7"/>
        <w:numId w:val="1"/>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38DB"/>
    <w:pPr>
      <w:keepNext/>
      <w:keepLines/>
      <w:numPr>
        <w:ilvl w:val="8"/>
        <w:numId w:val="1"/>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3FA"/>
    <w:rPr>
      <w:rFonts w:ascii="Arial" w:eastAsia="Calibri" w:hAnsi="Arial" w:cs="Arial"/>
      <w:b/>
      <w:bCs/>
      <w:sz w:val="24"/>
      <w:szCs w:val="28"/>
    </w:rPr>
  </w:style>
  <w:style w:type="character" w:customStyle="1" w:styleId="Heading2Char">
    <w:name w:val="Heading 2 Char"/>
    <w:basedOn w:val="DefaultParagraphFont"/>
    <w:link w:val="Heading2"/>
    <w:uiPriority w:val="9"/>
    <w:rsid w:val="00C9715D"/>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EC6EF8"/>
    <w:rPr>
      <w:rFonts w:ascii="Arial" w:hAnsi="Arial"/>
      <w:bCs/>
      <w:i/>
    </w:rPr>
  </w:style>
  <w:style w:type="character" w:customStyle="1" w:styleId="Heading4Char">
    <w:name w:val="Heading 4 Char"/>
    <w:basedOn w:val="DefaultParagraphFont"/>
    <w:link w:val="Heading4"/>
    <w:uiPriority w:val="9"/>
    <w:rsid w:val="00B038DB"/>
    <w:rPr>
      <w:rFonts w:ascii="Arial" w:eastAsiaTheme="majorEastAsia" w:hAnsi="Arial" w:cstheme="majorBidi"/>
      <w:bCs/>
      <w:iCs/>
    </w:rPr>
  </w:style>
  <w:style w:type="character" w:customStyle="1" w:styleId="Heading5Char">
    <w:name w:val="Heading 5 Char"/>
    <w:basedOn w:val="DefaultParagraphFont"/>
    <w:link w:val="Heading5"/>
    <w:uiPriority w:val="9"/>
    <w:semiHidden/>
    <w:rsid w:val="00B038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38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38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38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38DB"/>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B038DB"/>
  </w:style>
  <w:style w:type="numbering" w:customStyle="1" w:styleId="PhDHeadings">
    <w:name w:val="PhDHeadings"/>
    <w:uiPriority w:val="99"/>
    <w:rsid w:val="00B038DB"/>
    <w:pPr>
      <w:numPr>
        <w:numId w:val="2"/>
      </w:numPr>
    </w:pPr>
  </w:style>
  <w:style w:type="paragraph" w:customStyle="1" w:styleId="PhDParagraphnoIdent">
    <w:name w:val="PhD Paragraph no Ident"/>
    <w:basedOn w:val="Normal"/>
    <w:qFormat/>
    <w:rsid w:val="00536D52"/>
    <w:pPr>
      <w:spacing w:after="0" w:line="480" w:lineRule="auto"/>
      <w:jc w:val="both"/>
    </w:pPr>
    <w:rPr>
      <w:rFonts w:ascii="Arial" w:hAnsi="Arial"/>
    </w:rPr>
  </w:style>
  <w:style w:type="paragraph" w:customStyle="1" w:styleId="PhDParagraph">
    <w:name w:val="PhD Paragraph"/>
    <w:basedOn w:val="Normal"/>
    <w:next w:val="PhDParagraphnoIdent"/>
    <w:qFormat/>
    <w:rsid w:val="00536D52"/>
    <w:pPr>
      <w:keepNext/>
      <w:spacing w:after="0" w:line="480" w:lineRule="auto"/>
      <w:ind w:firstLine="709"/>
      <w:jc w:val="both"/>
    </w:pPr>
    <w:rPr>
      <w:rFonts w:ascii="Arial" w:hAnsi="Arial"/>
    </w:rPr>
  </w:style>
  <w:style w:type="paragraph" w:customStyle="1" w:styleId="PhDQuote">
    <w:name w:val="PhD Quote"/>
    <w:basedOn w:val="Normal"/>
    <w:qFormat/>
    <w:rsid w:val="00EF4EE7"/>
    <w:pPr>
      <w:spacing w:before="220" w:after="220" w:line="480" w:lineRule="auto"/>
      <w:ind w:left="709" w:right="709"/>
      <w:jc w:val="both"/>
    </w:pPr>
    <w:rPr>
      <w:rFonts w:ascii="Arial" w:hAnsi="Arial"/>
      <w:sz w:val="20"/>
    </w:rPr>
  </w:style>
  <w:style w:type="paragraph" w:styleId="Title">
    <w:name w:val="Title"/>
    <w:basedOn w:val="Normal"/>
    <w:next w:val="Normal"/>
    <w:link w:val="TitleChar"/>
    <w:uiPriority w:val="10"/>
    <w:qFormat/>
    <w:rsid w:val="00B038DB"/>
    <w:pPr>
      <w:keepNext/>
      <w:keepLines/>
      <w:pBdr>
        <w:bottom w:val="single" w:sz="8" w:space="5" w:color="auto"/>
      </w:pBdr>
      <w:spacing w:after="0" w:line="360" w:lineRule="auto"/>
      <w:contextualSpacing/>
      <w:jc w:val="center"/>
    </w:pPr>
    <w:rPr>
      <w:rFonts w:ascii="Book Antiqua" w:eastAsia="Arial" w:hAnsi="Book Antiqua" w:cstheme="majorBidi"/>
      <w:b/>
      <w:i/>
      <w:spacing w:val="5"/>
      <w:kern w:val="28"/>
      <w:sz w:val="44"/>
      <w:szCs w:val="44"/>
      <w:lang w:eastAsia="en-GB"/>
    </w:rPr>
  </w:style>
  <w:style w:type="character" w:customStyle="1" w:styleId="TitleChar">
    <w:name w:val="Title Char"/>
    <w:basedOn w:val="DefaultParagraphFont"/>
    <w:link w:val="Title"/>
    <w:uiPriority w:val="10"/>
    <w:rsid w:val="00B038DB"/>
    <w:rPr>
      <w:rFonts w:ascii="Book Antiqua" w:eastAsia="Arial" w:hAnsi="Book Antiqua" w:cstheme="majorBidi"/>
      <w:b/>
      <w:i/>
      <w:spacing w:val="5"/>
      <w:kern w:val="28"/>
      <w:sz w:val="44"/>
      <w:szCs w:val="44"/>
      <w:lang w:eastAsia="en-GB"/>
    </w:rPr>
  </w:style>
  <w:style w:type="paragraph" w:styleId="FootnoteText">
    <w:name w:val="footnote text"/>
    <w:aliases w:val="Footnote text,Reference,Fußnote,Footnote Text Char Char,Footnote Text Char Char Char Char,Footnote Text Char Char Char,Fußnotentextf,Geneva 9,Font: Geneva 9,Boston 10,f,Fu§notentext Char,Footnote,fn"/>
    <w:basedOn w:val="Normal"/>
    <w:link w:val="FootnoteTextChar"/>
    <w:uiPriority w:val="99"/>
    <w:unhideWhenUsed/>
    <w:rsid w:val="00B038DB"/>
    <w:pPr>
      <w:spacing w:after="0" w:line="240" w:lineRule="auto"/>
      <w:jc w:val="both"/>
    </w:pPr>
    <w:rPr>
      <w:rFonts w:ascii="Arial" w:hAnsi="Arial"/>
      <w:sz w:val="20"/>
      <w:szCs w:val="20"/>
    </w:rPr>
  </w:style>
  <w:style w:type="character" w:customStyle="1" w:styleId="FootnoteTextChar">
    <w:name w:val="Footnote Text Char"/>
    <w:aliases w:val="Footnote text Char,Reference Char,Fußnote Char,Footnote Text Char Char Char1,Footnote Text Char Char Char Char Char,Footnote Text Char Char Char Char1,Fußnotentextf Char,Geneva 9 Char,Font: Geneva 9 Char,Boston 10 Char,f Char,fn Char"/>
    <w:basedOn w:val="DefaultParagraphFont"/>
    <w:link w:val="FootnoteText"/>
    <w:uiPriority w:val="99"/>
    <w:rsid w:val="00B038DB"/>
    <w:rPr>
      <w:rFonts w:ascii="Arial" w:hAnsi="Arial"/>
      <w:sz w:val="20"/>
      <w:szCs w:val="20"/>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ftref,R"/>
    <w:basedOn w:val="DefaultParagraphFont"/>
    <w:uiPriority w:val="99"/>
    <w:unhideWhenUsed/>
    <w:rsid w:val="00B038DB"/>
    <w:rPr>
      <w:vertAlign w:val="superscript"/>
    </w:rPr>
  </w:style>
  <w:style w:type="paragraph" w:customStyle="1" w:styleId="PhDFootnotes">
    <w:name w:val="PhD Footnotes"/>
    <w:basedOn w:val="Normal"/>
    <w:link w:val="PhDFootnotesChar"/>
    <w:qFormat/>
    <w:rsid w:val="00A82313"/>
    <w:pPr>
      <w:spacing w:after="0" w:line="480" w:lineRule="auto"/>
      <w:jc w:val="both"/>
    </w:pPr>
    <w:rPr>
      <w:rFonts w:ascii="Arial" w:hAnsi="Arial"/>
      <w:sz w:val="16"/>
    </w:rPr>
  </w:style>
  <w:style w:type="numbering" w:customStyle="1" w:styleId="NoList11">
    <w:name w:val="No List11"/>
    <w:next w:val="NoList"/>
    <w:uiPriority w:val="99"/>
    <w:semiHidden/>
    <w:unhideWhenUsed/>
    <w:rsid w:val="00B038DB"/>
  </w:style>
  <w:style w:type="character" w:customStyle="1" w:styleId="PhDFootnotesChar">
    <w:name w:val="PhD Footnotes Char"/>
    <w:basedOn w:val="DefaultParagraphFont"/>
    <w:link w:val="PhDFootnotes"/>
    <w:rsid w:val="00A82313"/>
    <w:rPr>
      <w:rFonts w:ascii="Arial" w:hAnsi="Arial"/>
      <w:sz w:val="16"/>
    </w:rPr>
  </w:style>
  <w:style w:type="paragraph" w:styleId="Header">
    <w:name w:val="header"/>
    <w:basedOn w:val="Normal"/>
    <w:link w:val="HeaderChar"/>
    <w:uiPriority w:val="99"/>
    <w:unhideWhenUsed/>
    <w:rsid w:val="00B038DB"/>
    <w:pPr>
      <w:tabs>
        <w:tab w:val="center" w:pos="4513"/>
        <w:tab w:val="right" w:pos="9026"/>
      </w:tabs>
      <w:spacing w:after="0" w:line="240" w:lineRule="auto"/>
      <w:jc w:val="both"/>
    </w:pPr>
    <w:rPr>
      <w:rFonts w:ascii="Arial" w:hAnsi="Arial"/>
    </w:rPr>
  </w:style>
  <w:style w:type="character" w:customStyle="1" w:styleId="HeaderChar">
    <w:name w:val="Header Char"/>
    <w:basedOn w:val="DefaultParagraphFont"/>
    <w:link w:val="Header"/>
    <w:uiPriority w:val="99"/>
    <w:rsid w:val="00B038DB"/>
    <w:rPr>
      <w:rFonts w:ascii="Arial" w:hAnsi="Arial"/>
    </w:rPr>
  </w:style>
  <w:style w:type="paragraph" w:styleId="Footer">
    <w:name w:val="footer"/>
    <w:basedOn w:val="Normal"/>
    <w:link w:val="FooterChar"/>
    <w:uiPriority w:val="99"/>
    <w:unhideWhenUsed/>
    <w:rsid w:val="00B038DB"/>
    <w:pPr>
      <w:tabs>
        <w:tab w:val="center" w:pos="4513"/>
        <w:tab w:val="right" w:pos="9026"/>
      </w:tabs>
      <w:spacing w:after="0" w:line="240" w:lineRule="auto"/>
      <w:jc w:val="both"/>
    </w:pPr>
    <w:rPr>
      <w:rFonts w:ascii="Arial" w:hAnsi="Arial"/>
    </w:rPr>
  </w:style>
  <w:style w:type="character" w:customStyle="1" w:styleId="FooterChar">
    <w:name w:val="Footer Char"/>
    <w:basedOn w:val="DefaultParagraphFont"/>
    <w:link w:val="Footer"/>
    <w:uiPriority w:val="99"/>
    <w:rsid w:val="00B038DB"/>
    <w:rPr>
      <w:rFonts w:ascii="Arial" w:hAnsi="Arial"/>
    </w:rPr>
  </w:style>
  <w:style w:type="paragraph" w:customStyle="1" w:styleId="Default">
    <w:name w:val="Default"/>
    <w:rsid w:val="00B038DB"/>
    <w:pPr>
      <w:autoSpaceDE w:val="0"/>
      <w:autoSpaceDN w:val="0"/>
      <w:adjustRightInd w:val="0"/>
      <w:spacing w:after="0" w:line="240" w:lineRule="auto"/>
    </w:pPr>
    <w:rPr>
      <w:rFonts w:ascii="Palatino" w:hAnsi="Palatino" w:cs="Palatino"/>
      <w:color w:val="000000"/>
      <w:sz w:val="24"/>
      <w:szCs w:val="24"/>
    </w:rPr>
  </w:style>
  <w:style w:type="character" w:styleId="Hyperlink">
    <w:name w:val="Hyperlink"/>
    <w:basedOn w:val="DefaultParagraphFont"/>
    <w:uiPriority w:val="99"/>
    <w:unhideWhenUsed/>
    <w:rsid w:val="00B038DB"/>
    <w:rPr>
      <w:color w:val="0000FF" w:themeColor="hyperlink"/>
      <w:u w:val="single"/>
    </w:rPr>
  </w:style>
  <w:style w:type="character" w:customStyle="1" w:styleId="ft">
    <w:name w:val="ft"/>
    <w:basedOn w:val="DefaultParagraphFont"/>
    <w:rsid w:val="00B038DB"/>
  </w:style>
  <w:style w:type="paragraph" w:styleId="ListParagraph">
    <w:name w:val="List Paragraph"/>
    <w:basedOn w:val="Normal"/>
    <w:uiPriority w:val="34"/>
    <w:qFormat/>
    <w:rsid w:val="00B038DB"/>
    <w:pPr>
      <w:spacing w:after="120" w:line="360" w:lineRule="auto"/>
      <w:ind w:left="720"/>
      <w:contextualSpacing/>
      <w:jc w:val="both"/>
    </w:pPr>
    <w:rPr>
      <w:rFonts w:ascii="Arial" w:hAnsi="Arial"/>
    </w:rPr>
  </w:style>
  <w:style w:type="character" w:styleId="CommentReference">
    <w:name w:val="annotation reference"/>
    <w:basedOn w:val="DefaultParagraphFont"/>
    <w:uiPriority w:val="99"/>
    <w:semiHidden/>
    <w:unhideWhenUsed/>
    <w:rsid w:val="00B038DB"/>
    <w:rPr>
      <w:sz w:val="16"/>
      <w:szCs w:val="16"/>
    </w:rPr>
  </w:style>
  <w:style w:type="paragraph" w:styleId="CommentText">
    <w:name w:val="annotation text"/>
    <w:basedOn w:val="Normal"/>
    <w:link w:val="CommentTextChar"/>
    <w:uiPriority w:val="99"/>
    <w:semiHidden/>
    <w:unhideWhenUsed/>
    <w:rsid w:val="00B038DB"/>
    <w:pPr>
      <w:spacing w:line="240" w:lineRule="auto"/>
      <w:jc w:val="both"/>
    </w:pPr>
    <w:rPr>
      <w:rFonts w:ascii="Arial" w:hAnsi="Arial"/>
      <w:sz w:val="20"/>
      <w:szCs w:val="20"/>
    </w:rPr>
  </w:style>
  <w:style w:type="character" w:customStyle="1" w:styleId="CommentTextChar">
    <w:name w:val="Comment Text Char"/>
    <w:basedOn w:val="DefaultParagraphFont"/>
    <w:link w:val="CommentText"/>
    <w:uiPriority w:val="99"/>
    <w:semiHidden/>
    <w:rsid w:val="00B038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38DB"/>
    <w:rPr>
      <w:b/>
      <w:bCs/>
    </w:rPr>
  </w:style>
  <w:style w:type="character" w:customStyle="1" w:styleId="CommentSubjectChar">
    <w:name w:val="Comment Subject Char"/>
    <w:basedOn w:val="CommentTextChar"/>
    <w:link w:val="CommentSubject"/>
    <w:uiPriority w:val="99"/>
    <w:semiHidden/>
    <w:rsid w:val="00B038DB"/>
    <w:rPr>
      <w:rFonts w:ascii="Arial" w:hAnsi="Arial"/>
      <w:b/>
      <w:bCs/>
      <w:sz w:val="20"/>
      <w:szCs w:val="20"/>
    </w:rPr>
  </w:style>
  <w:style w:type="paragraph" w:styleId="BalloonText">
    <w:name w:val="Balloon Text"/>
    <w:basedOn w:val="Normal"/>
    <w:link w:val="BalloonTextChar"/>
    <w:uiPriority w:val="99"/>
    <w:semiHidden/>
    <w:unhideWhenUsed/>
    <w:rsid w:val="00B038DB"/>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B"/>
    <w:rPr>
      <w:rFonts w:ascii="Tahoma" w:hAnsi="Tahoma" w:cs="Tahoma"/>
      <w:sz w:val="16"/>
      <w:szCs w:val="16"/>
    </w:rPr>
  </w:style>
  <w:style w:type="numbering" w:customStyle="1" w:styleId="NoList2">
    <w:name w:val="No List2"/>
    <w:next w:val="NoList"/>
    <w:uiPriority w:val="99"/>
    <w:semiHidden/>
    <w:unhideWhenUsed/>
    <w:rsid w:val="00B038DB"/>
  </w:style>
  <w:style w:type="paragraph" w:customStyle="1" w:styleId="HTMLPreformatted1">
    <w:name w:val="HTML Preformatted1"/>
    <w:basedOn w:val="Normal"/>
    <w:next w:val="HTMLPreformatted"/>
    <w:link w:val="HTMLPreformattedChar"/>
    <w:uiPriority w:val="99"/>
    <w:semiHidden/>
    <w:unhideWhenUsed/>
    <w:rsid w:val="00B038DB"/>
    <w:pPr>
      <w:keepNext/>
      <w:widowControl w:val="0"/>
      <w:spacing w:after="0" w:line="240" w:lineRule="auto"/>
      <w:jc w:val="both"/>
    </w:pPr>
    <w:rPr>
      <w:rFonts w:ascii="Consolas" w:hAnsi="Consolas" w:cs="Consolas"/>
      <w:sz w:val="20"/>
      <w:szCs w:val="20"/>
    </w:rPr>
  </w:style>
  <w:style w:type="character" w:customStyle="1" w:styleId="HTMLPreformattedChar">
    <w:name w:val="HTML Preformatted Char"/>
    <w:basedOn w:val="DefaultParagraphFont"/>
    <w:link w:val="HTMLPreformatted1"/>
    <w:uiPriority w:val="99"/>
    <w:semiHidden/>
    <w:rsid w:val="00B038DB"/>
    <w:rPr>
      <w:rFonts w:ascii="Consolas" w:hAnsi="Consolas" w:cs="Consolas"/>
      <w:sz w:val="20"/>
      <w:szCs w:val="20"/>
    </w:rPr>
  </w:style>
  <w:style w:type="paragraph" w:styleId="HTMLPreformatted">
    <w:name w:val="HTML Preformatted"/>
    <w:basedOn w:val="Normal"/>
    <w:link w:val="HTMLPreformattedChar1"/>
    <w:uiPriority w:val="99"/>
    <w:semiHidden/>
    <w:unhideWhenUsed/>
    <w:rsid w:val="00B038DB"/>
    <w:pPr>
      <w:spacing w:after="0" w:line="240" w:lineRule="auto"/>
      <w:jc w:val="both"/>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B038DB"/>
    <w:rPr>
      <w:rFonts w:ascii="Consolas" w:hAnsi="Consolas" w:cs="Consolas"/>
      <w:sz w:val="20"/>
      <w:szCs w:val="20"/>
    </w:rPr>
  </w:style>
  <w:style w:type="paragraph" w:styleId="TOC1">
    <w:name w:val="toc 1"/>
    <w:basedOn w:val="Normal"/>
    <w:next w:val="Normal"/>
    <w:autoRedefine/>
    <w:uiPriority w:val="39"/>
    <w:unhideWhenUsed/>
    <w:rsid w:val="00B038DB"/>
    <w:pPr>
      <w:spacing w:before="160" w:after="100" w:line="360" w:lineRule="auto"/>
      <w:jc w:val="both"/>
    </w:pPr>
    <w:rPr>
      <w:rFonts w:ascii="Arial" w:hAnsi="Arial"/>
      <w:b/>
    </w:rPr>
  </w:style>
  <w:style w:type="paragraph" w:styleId="TOC2">
    <w:name w:val="toc 2"/>
    <w:basedOn w:val="Normal"/>
    <w:next w:val="Normal"/>
    <w:autoRedefine/>
    <w:uiPriority w:val="39"/>
    <w:unhideWhenUsed/>
    <w:rsid w:val="00B038DB"/>
    <w:pPr>
      <w:tabs>
        <w:tab w:val="left" w:pos="426"/>
        <w:tab w:val="right" w:leader="dot" w:pos="9060"/>
      </w:tabs>
      <w:spacing w:after="100" w:line="360" w:lineRule="auto"/>
    </w:pPr>
    <w:rPr>
      <w:rFonts w:ascii="Arial" w:hAnsi="Arial"/>
    </w:rPr>
  </w:style>
  <w:style w:type="paragraph" w:styleId="TOC3">
    <w:name w:val="toc 3"/>
    <w:basedOn w:val="Normal"/>
    <w:next w:val="Normal"/>
    <w:autoRedefine/>
    <w:uiPriority w:val="39"/>
    <w:unhideWhenUsed/>
    <w:rsid w:val="00B038DB"/>
    <w:pPr>
      <w:tabs>
        <w:tab w:val="left" w:pos="1134"/>
        <w:tab w:val="right" w:leader="dot" w:pos="9060"/>
      </w:tabs>
      <w:spacing w:after="100" w:line="360" w:lineRule="auto"/>
      <w:ind w:left="426"/>
      <w:jc w:val="both"/>
    </w:pPr>
    <w:rPr>
      <w:rFonts w:ascii="Arial" w:hAnsi="Arial"/>
    </w:rPr>
  </w:style>
  <w:style w:type="character" w:customStyle="1" w:styleId="citation">
    <w:name w:val="citation"/>
    <w:basedOn w:val="DefaultParagraphFont"/>
    <w:rsid w:val="00B038DB"/>
    <w:rPr>
      <w:i w:val="0"/>
      <w:iCs w:val="0"/>
    </w:rPr>
  </w:style>
  <w:style w:type="paragraph" w:styleId="TOC4">
    <w:name w:val="toc 4"/>
    <w:basedOn w:val="Normal"/>
    <w:next w:val="Normal"/>
    <w:autoRedefine/>
    <w:uiPriority w:val="39"/>
    <w:unhideWhenUsed/>
    <w:rsid w:val="00B038DB"/>
    <w:pPr>
      <w:tabs>
        <w:tab w:val="left" w:pos="1843"/>
        <w:tab w:val="right" w:leader="dot" w:pos="9060"/>
      </w:tabs>
      <w:spacing w:after="100"/>
      <w:ind w:left="1134"/>
      <w:jc w:val="both"/>
    </w:pPr>
    <w:rPr>
      <w:rFonts w:ascii="Arial" w:hAnsi="Arial"/>
      <w:i/>
    </w:rPr>
  </w:style>
  <w:style w:type="character" w:styleId="HTMLCite">
    <w:name w:val="HTML Cite"/>
    <w:basedOn w:val="DefaultParagraphFont"/>
    <w:uiPriority w:val="99"/>
    <w:semiHidden/>
    <w:unhideWhenUsed/>
    <w:rsid w:val="00B038DB"/>
    <w:rPr>
      <w:i/>
      <w:iCs/>
    </w:rPr>
  </w:style>
  <w:style w:type="paragraph" w:customStyle="1" w:styleId="FootnoteText1">
    <w:name w:val="Footnote Text1"/>
    <w:basedOn w:val="Normal"/>
    <w:next w:val="FootnoteText"/>
    <w:uiPriority w:val="99"/>
    <w:semiHidden/>
    <w:unhideWhenUsed/>
    <w:rsid w:val="00B038DB"/>
    <w:pPr>
      <w:keepNext/>
      <w:widowControl w:val="0"/>
      <w:spacing w:after="0" w:line="240" w:lineRule="auto"/>
      <w:jc w:val="both"/>
    </w:pPr>
    <w:rPr>
      <w:rFonts w:cs="Times New Roman"/>
      <w:sz w:val="20"/>
      <w:szCs w:val="20"/>
    </w:rPr>
  </w:style>
  <w:style w:type="paragraph" w:styleId="TOC5">
    <w:name w:val="toc 5"/>
    <w:basedOn w:val="Normal"/>
    <w:next w:val="Normal"/>
    <w:autoRedefine/>
    <w:uiPriority w:val="39"/>
    <w:unhideWhenUsed/>
    <w:rsid w:val="00B038DB"/>
    <w:pPr>
      <w:spacing w:after="100"/>
      <w:ind w:left="880"/>
    </w:pPr>
    <w:rPr>
      <w:rFonts w:eastAsiaTheme="minorEastAsia"/>
      <w:lang w:eastAsia="en-GB"/>
    </w:rPr>
  </w:style>
  <w:style w:type="paragraph" w:styleId="TOC6">
    <w:name w:val="toc 6"/>
    <w:basedOn w:val="Normal"/>
    <w:next w:val="Normal"/>
    <w:autoRedefine/>
    <w:uiPriority w:val="39"/>
    <w:unhideWhenUsed/>
    <w:rsid w:val="00B038DB"/>
    <w:pPr>
      <w:spacing w:after="100"/>
      <w:ind w:left="1100"/>
    </w:pPr>
    <w:rPr>
      <w:rFonts w:eastAsiaTheme="minorEastAsia"/>
      <w:lang w:eastAsia="en-GB"/>
    </w:rPr>
  </w:style>
  <w:style w:type="paragraph" w:styleId="TOC7">
    <w:name w:val="toc 7"/>
    <w:basedOn w:val="Normal"/>
    <w:next w:val="Normal"/>
    <w:autoRedefine/>
    <w:uiPriority w:val="39"/>
    <w:unhideWhenUsed/>
    <w:rsid w:val="00B038DB"/>
    <w:pPr>
      <w:spacing w:after="100"/>
      <w:ind w:left="1320"/>
    </w:pPr>
    <w:rPr>
      <w:rFonts w:eastAsiaTheme="minorEastAsia"/>
      <w:lang w:eastAsia="en-GB"/>
    </w:rPr>
  </w:style>
  <w:style w:type="paragraph" w:styleId="TOC8">
    <w:name w:val="toc 8"/>
    <w:basedOn w:val="Normal"/>
    <w:next w:val="Normal"/>
    <w:autoRedefine/>
    <w:uiPriority w:val="39"/>
    <w:unhideWhenUsed/>
    <w:rsid w:val="00B038DB"/>
    <w:pPr>
      <w:spacing w:after="100"/>
      <w:ind w:left="1540"/>
    </w:pPr>
    <w:rPr>
      <w:rFonts w:eastAsiaTheme="minorEastAsia"/>
      <w:lang w:eastAsia="en-GB"/>
    </w:rPr>
  </w:style>
  <w:style w:type="paragraph" w:styleId="TOC9">
    <w:name w:val="toc 9"/>
    <w:basedOn w:val="Normal"/>
    <w:next w:val="Normal"/>
    <w:autoRedefine/>
    <w:uiPriority w:val="39"/>
    <w:unhideWhenUsed/>
    <w:rsid w:val="00B038DB"/>
    <w:pPr>
      <w:spacing w:after="100"/>
      <w:ind w:left="1760"/>
    </w:pPr>
    <w:rPr>
      <w:rFonts w:eastAsiaTheme="minorEastAsia"/>
      <w:lang w:eastAsia="en-GB"/>
    </w:rPr>
  </w:style>
  <w:style w:type="numbering" w:customStyle="1" w:styleId="PhDHeadings1">
    <w:name w:val="PhDHeadings1"/>
    <w:uiPriority w:val="99"/>
    <w:rsid w:val="00B038DB"/>
  </w:style>
  <w:style w:type="numbering" w:customStyle="1" w:styleId="PhDHeadings2">
    <w:name w:val="PhDHeadings2"/>
    <w:uiPriority w:val="99"/>
    <w:rsid w:val="00B038DB"/>
  </w:style>
  <w:style w:type="numbering" w:customStyle="1" w:styleId="PhDHeadings3">
    <w:name w:val="PhDHeadings3"/>
    <w:uiPriority w:val="99"/>
    <w:rsid w:val="00B038DB"/>
  </w:style>
  <w:style w:type="numbering" w:customStyle="1" w:styleId="PhDHeadings4">
    <w:name w:val="PhDHeadings4"/>
    <w:uiPriority w:val="99"/>
    <w:rsid w:val="00B038DB"/>
  </w:style>
  <w:style w:type="numbering" w:customStyle="1" w:styleId="PhDHeadings5">
    <w:name w:val="PhDHeadings5"/>
    <w:uiPriority w:val="99"/>
    <w:rsid w:val="006A6F16"/>
  </w:style>
  <w:style w:type="numbering" w:customStyle="1" w:styleId="PhDHeadings6">
    <w:name w:val="PhDHeadings6"/>
    <w:uiPriority w:val="99"/>
    <w:rsid w:val="004358CB"/>
  </w:style>
  <w:style w:type="numbering" w:customStyle="1" w:styleId="PhDHeadings7">
    <w:name w:val="PhDHeadings7"/>
    <w:uiPriority w:val="99"/>
    <w:rsid w:val="00FB6F97"/>
  </w:style>
  <w:style w:type="numbering" w:customStyle="1" w:styleId="PhDHeadings8">
    <w:name w:val="PhDHeadings8"/>
    <w:uiPriority w:val="99"/>
    <w:rsid w:val="008A15BF"/>
  </w:style>
  <w:style w:type="numbering" w:customStyle="1" w:styleId="PhDHeadings9">
    <w:name w:val="PhDHeadings9"/>
    <w:uiPriority w:val="99"/>
    <w:rsid w:val="007D1407"/>
  </w:style>
  <w:style w:type="numbering" w:customStyle="1" w:styleId="NoList12">
    <w:name w:val="No List12"/>
    <w:next w:val="NoList"/>
    <w:uiPriority w:val="99"/>
    <w:semiHidden/>
    <w:unhideWhenUsed/>
    <w:rsid w:val="00D61DB6"/>
  </w:style>
  <w:style w:type="numbering" w:customStyle="1" w:styleId="PhDHeadings10">
    <w:name w:val="PhDHeadings10"/>
    <w:uiPriority w:val="99"/>
    <w:rsid w:val="00693526"/>
  </w:style>
  <w:style w:type="numbering" w:customStyle="1" w:styleId="PhDHeadings11">
    <w:name w:val="PhDHeadings11"/>
    <w:uiPriority w:val="99"/>
    <w:rsid w:val="00A91D2D"/>
  </w:style>
  <w:style w:type="numbering" w:customStyle="1" w:styleId="PhDHeadings12">
    <w:name w:val="PhDHeadings12"/>
    <w:uiPriority w:val="99"/>
    <w:rsid w:val="007A3150"/>
  </w:style>
  <w:style w:type="paragraph" w:styleId="NoSpacing">
    <w:name w:val="No Spacing"/>
    <w:uiPriority w:val="1"/>
    <w:qFormat/>
    <w:rsid w:val="0007031E"/>
    <w:pPr>
      <w:spacing w:after="0" w:line="240" w:lineRule="auto"/>
    </w:pPr>
  </w:style>
  <w:style w:type="numbering" w:customStyle="1" w:styleId="PhDHeadings13">
    <w:name w:val="PhDHeadings13"/>
    <w:uiPriority w:val="99"/>
    <w:rsid w:val="00397C28"/>
  </w:style>
  <w:style w:type="numbering" w:customStyle="1" w:styleId="PhDHeadings14">
    <w:name w:val="PhDHeadings14"/>
    <w:uiPriority w:val="99"/>
    <w:rsid w:val="000055A8"/>
  </w:style>
  <w:style w:type="paragraph" w:styleId="ListBullet">
    <w:name w:val="List Bullet"/>
    <w:basedOn w:val="Normal"/>
    <w:uiPriority w:val="99"/>
    <w:unhideWhenUsed/>
    <w:rsid w:val="009B586E"/>
    <w:pPr>
      <w:numPr>
        <w:numId w:val="17"/>
      </w:numPr>
      <w:contextualSpacing/>
    </w:pPr>
  </w:style>
  <w:style w:type="character" w:styleId="FollowedHyperlink">
    <w:name w:val="FollowedHyperlink"/>
    <w:basedOn w:val="DefaultParagraphFont"/>
    <w:uiPriority w:val="99"/>
    <w:semiHidden/>
    <w:unhideWhenUsed/>
    <w:rsid w:val="004A76B5"/>
    <w:rPr>
      <w:color w:val="800080" w:themeColor="followedHyperlink"/>
      <w:u w:val="single"/>
    </w:rPr>
  </w:style>
  <w:style w:type="character" w:customStyle="1" w:styleId="DeltaViewInsertion">
    <w:name w:val="DeltaView Insertion"/>
    <w:uiPriority w:val="99"/>
    <w:rsid w:val="00A0175C"/>
    <w:rPr>
      <w:b/>
      <w:color w:val="0000FF"/>
      <w:u w:val="double"/>
    </w:rPr>
  </w:style>
  <w:style w:type="character" w:customStyle="1" w:styleId="DeltaViewDeletion">
    <w:name w:val="DeltaView Deletion"/>
    <w:uiPriority w:val="99"/>
    <w:rsid w:val="00A0175C"/>
    <w:rPr>
      <w:b/>
      <w:strike/>
      <w:color w:val="FF0000"/>
    </w:rPr>
  </w:style>
  <w:style w:type="table" w:styleId="TableGrid">
    <w:name w:val="Table Grid"/>
    <w:basedOn w:val="TableNormal"/>
    <w:uiPriority w:val="59"/>
    <w:rsid w:val="0031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92097">
      <w:bodyDiv w:val="1"/>
      <w:marLeft w:val="375"/>
      <w:marRight w:val="375"/>
      <w:marTop w:val="75"/>
      <w:marBottom w:val="75"/>
      <w:divBdr>
        <w:top w:val="none" w:sz="0" w:space="0" w:color="auto"/>
        <w:left w:val="none" w:sz="0" w:space="0" w:color="auto"/>
        <w:bottom w:val="none" w:sz="0" w:space="0" w:color="auto"/>
        <w:right w:val="none" w:sz="0" w:space="0" w:color="auto"/>
      </w:divBdr>
      <w:divsChild>
        <w:div w:id="871377830">
          <w:marLeft w:val="0"/>
          <w:marRight w:val="0"/>
          <w:marTop w:val="0"/>
          <w:marBottom w:val="0"/>
          <w:divBdr>
            <w:top w:val="none" w:sz="0" w:space="0" w:color="auto"/>
            <w:left w:val="none" w:sz="0" w:space="0" w:color="auto"/>
            <w:bottom w:val="none" w:sz="0" w:space="0" w:color="auto"/>
            <w:right w:val="none" w:sz="0" w:space="0" w:color="auto"/>
          </w:divBdr>
          <w:divsChild>
            <w:div w:id="634409941">
              <w:marLeft w:val="0"/>
              <w:marRight w:val="0"/>
              <w:marTop w:val="0"/>
              <w:marBottom w:val="0"/>
              <w:divBdr>
                <w:top w:val="none" w:sz="0" w:space="0" w:color="auto"/>
                <w:left w:val="none" w:sz="0" w:space="0" w:color="auto"/>
                <w:bottom w:val="none" w:sz="0" w:space="0" w:color="auto"/>
                <w:right w:val="none" w:sz="0" w:space="0" w:color="auto"/>
              </w:divBdr>
              <w:divsChild>
                <w:div w:id="1273516252">
                  <w:marLeft w:val="0"/>
                  <w:marRight w:val="0"/>
                  <w:marTop w:val="0"/>
                  <w:marBottom w:val="0"/>
                  <w:divBdr>
                    <w:top w:val="none" w:sz="0" w:space="0" w:color="auto"/>
                    <w:left w:val="none" w:sz="0" w:space="0" w:color="auto"/>
                    <w:bottom w:val="none" w:sz="0" w:space="0" w:color="auto"/>
                    <w:right w:val="none" w:sz="0" w:space="0" w:color="auto"/>
                  </w:divBdr>
                  <w:divsChild>
                    <w:div w:id="191764891">
                      <w:marLeft w:val="0"/>
                      <w:marRight w:val="0"/>
                      <w:marTop w:val="0"/>
                      <w:marBottom w:val="0"/>
                      <w:divBdr>
                        <w:top w:val="none" w:sz="0" w:space="0" w:color="auto"/>
                        <w:left w:val="none" w:sz="0" w:space="0" w:color="auto"/>
                        <w:bottom w:val="none" w:sz="0" w:space="0" w:color="auto"/>
                        <w:right w:val="none" w:sz="0" w:space="0" w:color="auto"/>
                      </w:divBdr>
                      <w:divsChild>
                        <w:div w:id="1677071485">
                          <w:marLeft w:val="0"/>
                          <w:marRight w:val="0"/>
                          <w:marTop w:val="0"/>
                          <w:marBottom w:val="0"/>
                          <w:divBdr>
                            <w:top w:val="none" w:sz="0" w:space="0" w:color="auto"/>
                            <w:left w:val="none" w:sz="0" w:space="0" w:color="auto"/>
                            <w:bottom w:val="none" w:sz="0" w:space="0" w:color="auto"/>
                            <w:right w:val="none" w:sz="0" w:space="0" w:color="auto"/>
                          </w:divBdr>
                          <w:divsChild>
                            <w:div w:id="1518621650">
                              <w:marLeft w:val="0"/>
                              <w:marRight w:val="0"/>
                              <w:marTop w:val="0"/>
                              <w:marBottom w:val="0"/>
                              <w:divBdr>
                                <w:top w:val="none" w:sz="0" w:space="0" w:color="auto"/>
                                <w:left w:val="none" w:sz="0" w:space="0" w:color="auto"/>
                                <w:bottom w:val="none" w:sz="0" w:space="0" w:color="auto"/>
                                <w:right w:val="none" w:sz="0" w:space="0" w:color="auto"/>
                              </w:divBdr>
                            </w:div>
                            <w:div w:id="1159689145">
                              <w:marLeft w:val="0"/>
                              <w:marRight w:val="0"/>
                              <w:marTop w:val="0"/>
                              <w:marBottom w:val="0"/>
                              <w:divBdr>
                                <w:top w:val="none" w:sz="0" w:space="0" w:color="auto"/>
                                <w:left w:val="none" w:sz="0" w:space="0" w:color="auto"/>
                                <w:bottom w:val="none" w:sz="0" w:space="0" w:color="auto"/>
                                <w:right w:val="none" w:sz="0" w:space="0" w:color="auto"/>
                              </w:divBdr>
                            </w:div>
                            <w:div w:id="742142919">
                              <w:marLeft w:val="0"/>
                              <w:marRight w:val="0"/>
                              <w:marTop w:val="0"/>
                              <w:marBottom w:val="0"/>
                              <w:divBdr>
                                <w:top w:val="none" w:sz="0" w:space="0" w:color="auto"/>
                                <w:left w:val="none" w:sz="0" w:space="0" w:color="auto"/>
                                <w:bottom w:val="none" w:sz="0" w:space="0" w:color="auto"/>
                                <w:right w:val="none" w:sz="0" w:space="0" w:color="auto"/>
                              </w:divBdr>
                            </w:div>
                            <w:div w:id="1900822081">
                              <w:marLeft w:val="0"/>
                              <w:marRight w:val="0"/>
                              <w:marTop w:val="0"/>
                              <w:marBottom w:val="0"/>
                              <w:divBdr>
                                <w:top w:val="none" w:sz="0" w:space="0" w:color="auto"/>
                                <w:left w:val="none" w:sz="0" w:space="0" w:color="auto"/>
                                <w:bottom w:val="none" w:sz="0" w:space="0" w:color="auto"/>
                                <w:right w:val="none" w:sz="0" w:space="0" w:color="auto"/>
                              </w:divBdr>
                            </w:div>
                            <w:div w:id="17413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62075">
      <w:bodyDiv w:val="1"/>
      <w:marLeft w:val="0"/>
      <w:marRight w:val="0"/>
      <w:marTop w:val="0"/>
      <w:marBottom w:val="0"/>
      <w:divBdr>
        <w:top w:val="none" w:sz="0" w:space="0" w:color="auto"/>
        <w:left w:val="none" w:sz="0" w:space="0" w:color="auto"/>
        <w:bottom w:val="none" w:sz="0" w:space="0" w:color="auto"/>
        <w:right w:val="none" w:sz="0" w:space="0" w:color="auto"/>
      </w:divBdr>
    </w:div>
    <w:div w:id="627324269">
      <w:bodyDiv w:val="1"/>
      <w:marLeft w:val="0"/>
      <w:marRight w:val="0"/>
      <w:marTop w:val="0"/>
      <w:marBottom w:val="0"/>
      <w:divBdr>
        <w:top w:val="none" w:sz="0" w:space="0" w:color="auto"/>
        <w:left w:val="none" w:sz="0" w:space="0" w:color="auto"/>
        <w:bottom w:val="none" w:sz="0" w:space="0" w:color="auto"/>
        <w:right w:val="none" w:sz="0" w:space="0" w:color="auto"/>
      </w:divBdr>
    </w:div>
    <w:div w:id="914751489">
      <w:bodyDiv w:val="1"/>
      <w:marLeft w:val="0"/>
      <w:marRight w:val="0"/>
      <w:marTop w:val="0"/>
      <w:marBottom w:val="0"/>
      <w:divBdr>
        <w:top w:val="none" w:sz="0" w:space="0" w:color="auto"/>
        <w:left w:val="none" w:sz="0" w:space="0" w:color="auto"/>
        <w:bottom w:val="none" w:sz="0" w:space="0" w:color="auto"/>
        <w:right w:val="none" w:sz="0" w:space="0" w:color="auto"/>
      </w:divBdr>
    </w:div>
    <w:div w:id="966473669">
      <w:bodyDiv w:val="1"/>
      <w:marLeft w:val="0"/>
      <w:marRight w:val="0"/>
      <w:marTop w:val="0"/>
      <w:marBottom w:val="0"/>
      <w:divBdr>
        <w:top w:val="none" w:sz="0" w:space="0" w:color="auto"/>
        <w:left w:val="none" w:sz="0" w:space="0" w:color="auto"/>
        <w:bottom w:val="none" w:sz="0" w:space="0" w:color="auto"/>
        <w:right w:val="none" w:sz="0" w:space="0" w:color="auto"/>
      </w:divBdr>
    </w:div>
    <w:div w:id="1139687304">
      <w:bodyDiv w:val="1"/>
      <w:marLeft w:val="0"/>
      <w:marRight w:val="0"/>
      <w:marTop w:val="0"/>
      <w:marBottom w:val="0"/>
      <w:divBdr>
        <w:top w:val="none" w:sz="0" w:space="0" w:color="auto"/>
        <w:left w:val="none" w:sz="0" w:space="0" w:color="auto"/>
        <w:bottom w:val="none" w:sz="0" w:space="0" w:color="auto"/>
        <w:right w:val="none" w:sz="0" w:space="0" w:color="auto"/>
      </w:divBdr>
    </w:div>
    <w:div w:id="1348289494">
      <w:bodyDiv w:val="1"/>
      <w:marLeft w:val="0"/>
      <w:marRight w:val="0"/>
      <w:marTop w:val="0"/>
      <w:marBottom w:val="0"/>
      <w:divBdr>
        <w:top w:val="none" w:sz="0" w:space="0" w:color="auto"/>
        <w:left w:val="none" w:sz="0" w:space="0" w:color="auto"/>
        <w:bottom w:val="none" w:sz="0" w:space="0" w:color="auto"/>
        <w:right w:val="none" w:sz="0" w:space="0" w:color="auto"/>
      </w:divBdr>
    </w:div>
    <w:div w:id="1896891361">
      <w:bodyDiv w:val="1"/>
      <w:marLeft w:val="0"/>
      <w:marRight w:val="0"/>
      <w:marTop w:val="0"/>
      <w:marBottom w:val="0"/>
      <w:divBdr>
        <w:top w:val="none" w:sz="0" w:space="0" w:color="auto"/>
        <w:left w:val="none" w:sz="0" w:space="0" w:color="auto"/>
        <w:bottom w:val="none" w:sz="0" w:space="0" w:color="auto"/>
        <w:right w:val="none" w:sz="0" w:space="0" w:color="auto"/>
      </w:divBdr>
    </w:div>
    <w:div w:id="1905489117">
      <w:bodyDiv w:val="1"/>
      <w:marLeft w:val="0"/>
      <w:marRight w:val="0"/>
      <w:marTop w:val="0"/>
      <w:marBottom w:val="0"/>
      <w:divBdr>
        <w:top w:val="none" w:sz="0" w:space="0" w:color="auto"/>
        <w:left w:val="none" w:sz="0" w:space="0" w:color="auto"/>
        <w:bottom w:val="none" w:sz="0" w:space="0" w:color="auto"/>
        <w:right w:val="none" w:sz="0" w:space="0" w:color="auto"/>
      </w:divBdr>
      <w:divsChild>
        <w:div w:id="2084372836">
          <w:marLeft w:val="0"/>
          <w:marRight w:val="0"/>
          <w:marTop w:val="0"/>
          <w:marBottom w:val="0"/>
          <w:divBdr>
            <w:top w:val="none" w:sz="0" w:space="0" w:color="auto"/>
            <w:left w:val="none" w:sz="0" w:space="0" w:color="auto"/>
            <w:bottom w:val="none" w:sz="0" w:space="0" w:color="auto"/>
            <w:right w:val="none" w:sz="0" w:space="0" w:color="auto"/>
          </w:divBdr>
          <w:divsChild>
            <w:div w:id="1762335078">
              <w:marLeft w:val="0"/>
              <w:marRight w:val="0"/>
              <w:marTop w:val="0"/>
              <w:marBottom w:val="0"/>
              <w:divBdr>
                <w:top w:val="none" w:sz="0" w:space="0" w:color="auto"/>
                <w:left w:val="none" w:sz="0" w:space="0" w:color="auto"/>
                <w:bottom w:val="none" w:sz="0" w:space="0" w:color="auto"/>
                <w:right w:val="none" w:sz="0" w:space="0" w:color="auto"/>
              </w:divBdr>
              <w:divsChild>
                <w:div w:id="2137789894">
                  <w:marLeft w:val="0"/>
                  <w:marRight w:val="0"/>
                  <w:marTop w:val="0"/>
                  <w:marBottom w:val="0"/>
                  <w:divBdr>
                    <w:top w:val="none" w:sz="0" w:space="0" w:color="auto"/>
                    <w:left w:val="none" w:sz="0" w:space="0" w:color="auto"/>
                    <w:bottom w:val="none" w:sz="0" w:space="0" w:color="auto"/>
                    <w:right w:val="none" w:sz="0" w:space="0" w:color="auto"/>
                  </w:divBdr>
                  <w:divsChild>
                    <w:div w:id="1942881067">
                      <w:marLeft w:val="0"/>
                      <w:marRight w:val="0"/>
                      <w:marTop w:val="0"/>
                      <w:marBottom w:val="0"/>
                      <w:divBdr>
                        <w:top w:val="none" w:sz="0" w:space="0" w:color="auto"/>
                        <w:left w:val="none" w:sz="0" w:space="0" w:color="auto"/>
                        <w:bottom w:val="none" w:sz="0" w:space="0" w:color="auto"/>
                        <w:right w:val="none" w:sz="0" w:space="0" w:color="auto"/>
                      </w:divBdr>
                      <w:divsChild>
                        <w:div w:id="1133017670">
                          <w:marLeft w:val="0"/>
                          <w:marRight w:val="0"/>
                          <w:marTop w:val="0"/>
                          <w:marBottom w:val="0"/>
                          <w:divBdr>
                            <w:top w:val="none" w:sz="0" w:space="0" w:color="auto"/>
                            <w:left w:val="none" w:sz="0" w:space="0" w:color="auto"/>
                            <w:bottom w:val="none" w:sz="0" w:space="0" w:color="auto"/>
                            <w:right w:val="none" w:sz="0" w:space="0" w:color="auto"/>
                          </w:divBdr>
                          <w:divsChild>
                            <w:div w:id="1295523407">
                              <w:marLeft w:val="0"/>
                              <w:marRight w:val="0"/>
                              <w:marTop w:val="0"/>
                              <w:marBottom w:val="0"/>
                              <w:divBdr>
                                <w:top w:val="none" w:sz="0" w:space="0" w:color="auto"/>
                                <w:left w:val="none" w:sz="0" w:space="0" w:color="auto"/>
                                <w:bottom w:val="none" w:sz="0" w:space="0" w:color="auto"/>
                                <w:right w:val="none" w:sz="0" w:space="0" w:color="auto"/>
                              </w:divBdr>
                              <w:divsChild>
                                <w:div w:id="1878883612">
                                  <w:marLeft w:val="0"/>
                                  <w:marRight w:val="0"/>
                                  <w:marTop w:val="0"/>
                                  <w:marBottom w:val="0"/>
                                  <w:divBdr>
                                    <w:top w:val="none" w:sz="0" w:space="0" w:color="auto"/>
                                    <w:left w:val="none" w:sz="0" w:space="0" w:color="auto"/>
                                    <w:bottom w:val="none" w:sz="0" w:space="0" w:color="auto"/>
                                    <w:right w:val="none" w:sz="0" w:space="0" w:color="auto"/>
                                  </w:divBdr>
                                  <w:divsChild>
                                    <w:div w:id="1997297726">
                                      <w:marLeft w:val="0"/>
                                      <w:marRight w:val="0"/>
                                      <w:marTop w:val="0"/>
                                      <w:marBottom w:val="0"/>
                                      <w:divBdr>
                                        <w:top w:val="none" w:sz="0" w:space="0" w:color="auto"/>
                                        <w:left w:val="none" w:sz="0" w:space="0" w:color="auto"/>
                                        <w:bottom w:val="none" w:sz="0" w:space="0" w:color="auto"/>
                                        <w:right w:val="none" w:sz="0" w:space="0" w:color="auto"/>
                                      </w:divBdr>
                                      <w:divsChild>
                                        <w:div w:id="2074815554">
                                          <w:marLeft w:val="0"/>
                                          <w:marRight w:val="0"/>
                                          <w:marTop w:val="0"/>
                                          <w:marBottom w:val="0"/>
                                          <w:divBdr>
                                            <w:top w:val="none" w:sz="0" w:space="0" w:color="auto"/>
                                            <w:left w:val="none" w:sz="0" w:space="0" w:color="auto"/>
                                            <w:bottom w:val="none" w:sz="0" w:space="0" w:color="auto"/>
                                            <w:right w:val="none" w:sz="0" w:space="0" w:color="auto"/>
                                          </w:divBdr>
                                          <w:divsChild>
                                            <w:div w:id="475295218">
                                              <w:marLeft w:val="0"/>
                                              <w:marRight w:val="0"/>
                                              <w:marTop w:val="0"/>
                                              <w:marBottom w:val="0"/>
                                              <w:divBdr>
                                                <w:top w:val="none" w:sz="0" w:space="0" w:color="auto"/>
                                                <w:left w:val="none" w:sz="0" w:space="0" w:color="auto"/>
                                                <w:bottom w:val="single" w:sz="6" w:space="0" w:color="E5E3E3"/>
                                                <w:right w:val="none" w:sz="0" w:space="0" w:color="auto"/>
                                              </w:divBdr>
                                              <w:divsChild>
                                                <w:div w:id="146478459">
                                                  <w:marLeft w:val="0"/>
                                                  <w:marRight w:val="0"/>
                                                  <w:marTop w:val="0"/>
                                                  <w:marBottom w:val="0"/>
                                                  <w:divBdr>
                                                    <w:top w:val="none" w:sz="0" w:space="0" w:color="auto"/>
                                                    <w:left w:val="none" w:sz="0" w:space="0" w:color="auto"/>
                                                    <w:bottom w:val="none" w:sz="0" w:space="0" w:color="auto"/>
                                                    <w:right w:val="none" w:sz="0" w:space="0" w:color="auto"/>
                                                  </w:divBdr>
                                                  <w:divsChild>
                                                    <w:div w:id="1967659193">
                                                      <w:marLeft w:val="0"/>
                                                      <w:marRight w:val="0"/>
                                                      <w:marTop w:val="0"/>
                                                      <w:marBottom w:val="0"/>
                                                      <w:divBdr>
                                                        <w:top w:val="none" w:sz="0" w:space="0" w:color="auto"/>
                                                        <w:left w:val="none" w:sz="0" w:space="0" w:color="auto"/>
                                                        <w:bottom w:val="none" w:sz="0" w:space="0" w:color="auto"/>
                                                        <w:right w:val="none" w:sz="0" w:space="0" w:color="auto"/>
                                                      </w:divBdr>
                                                      <w:divsChild>
                                                        <w:div w:id="1881555789">
                                                          <w:marLeft w:val="0"/>
                                                          <w:marRight w:val="0"/>
                                                          <w:marTop w:val="0"/>
                                                          <w:marBottom w:val="0"/>
                                                          <w:divBdr>
                                                            <w:top w:val="none" w:sz="0" w:space="0" w:color="auto"/>
                                                            <w:left w:val="none" w:sz="0" w:space="0" w:color="auto"/>
                                                            <w:bottom w:val="none" w:sz="0" w:space="0" w:color="auto"/>
                                                            <w:right w:val="none" w:sz="0" w:space="0" w:color="auto"/>
                                                          </w:divBdr>
                                                          <w:divsChild>
                                                            <w:div w:id="260182814">
                                                              <w:marLeft w:val="0"/>
                                                              <w:marRight w:val="0"/>
                                                              <w:marTop w:val="0"/>
                                                              <w:marBottom w:val="0"/>
                                                              <w:divBdr>
                                                                <w:top w:val="none" w:sz="0" w:space="0" w:color="auto"/>
                                                                <w:left w:val="none" w:sz="0" w:space="0" w:color="auto"/>
                                                                <w:bottom w:val="none" w:sz="0" w:space="0" w:color="auto"/>
                                                                <w:right w:val="none" w:sz="0" w:space="0" w:color="auto"/>
                                                              </w:divBdr>
                                                              <w:divsChild>
                                                                <w:div w:id="652754932">
                                                                  <w:marLeft w:val="405"/>
                                                                  <w:marRight w:val="0"/>
                                                                  <w:marTop w:val="0"/>
                                                                  <w:marBottom w:val="0"/>
                                                                  <w:divBdr>
                                                                    <w:top w:val="none" w:sz="0" w:space="0" w:color="auto"/>
                                                                    <w:left w:val="none" w:sz="0" w:space="0" w:color="auto"/>
                                                                    <w:bottom w:val="none" w:sz="0" w:space="0" w:color="auto"/>
                                                                    <w:right w:val="none" w:sz="0" w:space="0" w:color="auto"/>
                                                                  </w:divBdr>
                                                                  <w:divsChild>
                                                                    <w:div w:id="3560772">
                                                                      <w:marLeft w:val="0"/>
                                                                      <w:marRight w:val="0"/>
                                                                      <w:marTop w:val="0"/>
                                                                      <w:marBottom w:val="0"/>
                                                                      <w:divBdr>
                                                                        <w:top w:val="none" w:sz="0" w:space="0" w:color="auto"/>
                                                                        <w:left w:val="none" w:sz="0" w:space="0" w:color="auto"/>
                                                                        <w:bottom w:val="none" w:sz="0" w:space="0" w:color="auto"/>
                                                                        <w:right w:val="none" w:sz="0" w:space="0" w:color="auto"/>
                                                                      </w:divBdr>
                                                                      <w:divsChild>
                                                                        <w:div w:id="612591313">
                                                                          <w:marLeft w:val="0"/>
                                                                          <w:marRight w:val="0"/>
                                                                          <w:marTop w:val="0"/>
                                                                          <w:marBottom w:val="0"/>
                                                                          <w:divBdr>
                                                                            <w:top w:val="none" w:sz="0" w:space="0" w:color="auto"/>
                                                                            <w:left w:val="none" w:sz="0" w:space="0" w:color="auto"/>
                                                                            <w:bottom w:val="none" w:sz="0" w:space="0" w:color="auto"/>
                                                                            <w:right w:val="none" w:sz="0" w:space="0" w:color="auto"/>
                                                                          </w:divBdr>
                                                                          <w:divsChild>
                                                                            <w:div w:id="722414219">
                                                                              <w:marLeft w:val="0"/>
                                                                              <w:marRight w:val="0"/>
                                                                              <w:marTop w:val="0"/>
                                                                              <w:marBottom w:val="0"/>
                                                                              <w:divBdr>
                                                                                <w:top w:val="none" w:sz="0" w:space="0" w:color="auto"/>
                                                                                <w:left w:val="none" w:sz="0" w:space="0" w:color="auto"/>
                                                                                <w:bottom w:val="none" w:sz="0" w:space="0" w:color="auto"/>
                                                                                <w:right w:val="none" w:sz="0" w:space="0" w:color="auto"/>
                                                                              </w:divBdr>
                                                                              <w:divsChild>
                                                                                <w:div w:id="813641239">
                                                                                  <w:marLeft w:val="0"/>
                                                                                  <w:marRight w:val="0"/>
                                                                                  <w:marTop w:val="0"/>
                                                                                  <w:marBottom w:val="0"/>
                                                                                  <w:divBdr>
                                                                                    <w:top w:val="none" w:sz="0" w:space="0" w:color="auto"/>
                                                                                    <w:left w:val="none" w:sz="0" w:space="0" w:color="auto"/>
                                                                                    <w:bottom w:val="none" w:sz="0" w:space="0" w:color="auto"/>
                                                                                    <w:right w:val="none" w:sz="0" w:space="0" w:color="auto"/>
                                                                                  </w:divBdr>
                                                                                  <w:divsChild>
                                                                                    <w:div w:id="688072001">
                                                                                      <w:marLeft w:val="0"/>
                                                                                      <w:marRight w:val="0"/>
                                                                                      <w:marTop w:val="0"/>
                                                                                      <w:marBottom w:val="0"/>
                                                                                      <w:divBdr>
                                                                                        <w:top w:val="none" w:sz="0" w:space="0" w:color="auto"/>
                                                                                        <w:left w:val="none" w:sz="0" w:space="0" w:color="auto"/>
                                                                                        <w:bottom w:val="none" w:sz="0" w:space="0" w:color="auto"/>
                                                                                        <w:right w:val="none" w:sz="0" w:space="0" w:color="auto"/>
                                                                                      </w:divBdr>
                                                                                      <w:divsChild>
                                                                                        <w:div w:id="864557883">
                                                                                          <w:marLeft w:val="0"/>
                                                                                          <w:marRight w:val="0"/>
                                                                                          <w:marTop w:val="0"/>
                                                                                          <w:marBottom w:val="0"/>
                                                                                          <w:divBdr>
                                                                                            <w:top w:val="none" w:sz="0" w:space="0" w:color="auto"/>
                                                                                            <w:left w:val="none" w:sz="0" w:space="0" w:color="auto"/>
                                                                                            <w:bottom w:val="none" w:sz="0" w:space="0" w:color="auto"/>
                                                                                            <w:right w:val="none" w:sz="0" w:space="0" w:color="auto"/>
                                                                                          </w:divBdr>
                                                                                          <w:divsChild>
                                                                                            <w:div w:id="944535732">
                                                                                              <w:marLeft w:val="0"/>
                                                                                              <w:marRight w:val="150"/>
                                                                                              <w:marTop w:val="75"/>
                                                                                              <w:marBottom w:val="0"/>
                                                                                              <w:divBdr>
                                                                                                <w:top w:val="none" w:sz="0" w:space="0" w:color="auto"/>
                                                                                                <w:left w:val="none" w:sz="0" w:space="0" w:color="auto"/>
                                                                                                <w:bottom w:val="single" w:sz="6" w:space="15" w:color="auto"/>
                                                                                                <w:right w:val="none" w:sz="0" w:space="0" w:color="auto"/>
                                                                                              </w:divBdr>
                                                                                              <w:divsChild>
                                                                                                <w:div w:id="1012679442">
                                                                                                  <w:marLeft w:val="0"/>
                                                                                                  <w:marRight w:val="0"/>
                                                                                                  <w:marTop w:val="180"/>
                                                                                                  <w:marBottom w:val="0"/>
                                                                                                  <w:divBdr>
                                                                                                    <w:top w:val="none" w:sz="0" w:space="0" w:color="auto"/>
                                                                                                    <w:left w:val="none" w:sz="0" w:space="0" w:color="auto"/>
                                                                                                    <w:bottom w:val="none" w:sz="0" w:space="0" w:color="auto"/>
                                                                                                    <w:right w:val="none" w:sz="0" w:space="0" w:color="auto"/>
                                                                                                  </w:divBdr>
                                                                                                  <w:divsChild>
                                                                                                    <w:div w:id="1793012454">
                                                                                                      <w:marLeft w:val="0"/>
                                                                                                      <w:marRight w:val="0"/>
                                                                                                      <w:marTop w:val="0"/>
                                                                                                      <w:marBottom w:val="0"/>
                                                                                                      <w:divBdr>
                                                                                                        <w:top w:val="none" w:sz="0" w:space="0" w:color="auto"/>
                                                                                                        <w:left w:val="none" w:sz="0" w:space="0" w:color="auto"/>
                                                                                                        <w:bottom w:val="none" w:sz="0" w:space="0" w:color="auto"/>
                                                                                                        <w:right w:val="none" w:sz="0" w:space="0" w:color="auto"/>
                                                                                                      </w:divBdr>
                                                                                                      <w:divsChild>
                                                                                                        <w:div w:id="109201959">
                                                                                                          <w:marLeft w:val="0"/>
                                                                                                          <w:marRight w:val="0"/>
                                                                                                          <w:marTop w:val="15"/>
                                                                                                          <w:marBottom w:val="0"/>
                                                                                                          <w:divBdr>
                                                                                                            <w:top w:val="none" w:sz="0" w:space="0" w:color="auto"/>
                                                                                                            <w:left w:val="none" w:sz="0" w:space="0" w:color="auto"/>
                                                                                                            <w:bottom w:val="none" w:sz="0" w:space="0" w:color="auto"/>
                                                                                                            <w:right w:val="none" w:sz="0" w:space="0" w:color="auto"/>
                                                                                                          </w:divBdr>
                                                                                                          <w:divsChild>
                                                                                                            <w:div w:id="1773545008">
                                                                                                              <w:marLeft w:val="0"/>
                                                                                                              <w:marRight w:val="0"/>
                                                                                                              <w:marTop w:val="0"/>
                                                                                                              <w:marBottom w:val="0"/>
                                                                                                              <w:divBdr>
                                                                                                                <w:top w:val="none" w:sz="0" w:space="0" w:color="auto"/>
                                                                                                                <w:left w:val="none" w:sz="0" w:space="0" w:color="auto"/>
                                                                                                                <w:bottom w:val="none" w:sz="0" w:space="0" w:color="auto"/>
                                                                                                                <w:right w:val="none" w:sz="0" w:space="0" w:color="auto"/>
                                                                                                              </w:divBdr>
                                                                                                              <w:divsChild>
                                                                                                                <w:div w:id="188682174">
                                                                                                                  <w:marLeft w:val="0"/>
                                                                                                                  <w:marRight w:val="0"/>
                                                                                                                  <w:marTop w:val="0"/>
                                                                                                                  <w:marBottom w:val="0"/>
                                                                                                                  <w:divBdr>
                                                                                                                    <w:top w:val="none" w:sz="0" w:space="0" w:color="auto"/>
                                                                                                                    <w:left w:val="none" w:sz="0" w:space="0" w:color="auto"/>
                                                                                                                    <w:bottom w:val="none" w:sz="0" w:space="0" w:color="auto"/>
                                                                                                                    <w:right w:val="none" w:sz="0" w:space="0" w:color="auto"/>
                                                                                                                  </w:divBdr>
                                                                                                                  <w:divsChild>
                                                                                                                    <w:div w:id="223025164">
                                                                                                                      <w:marLeft w:val="0"/>
                                                                                                                      <w:marRight w:val="0"/>
                                                                                                                      <w:marTop w:val="0"/>
                                                                                                                      <w:marBottom w:val="0"/>
                                                                                                                      <w:divBdr>
                                                                                                                        <w:top w:val="none" w:sz="0" w:space="0" w:color="auto"/>
                                                                                                                        <w:left w:val="none" w:sz="0" w:space="0" w:color="auto"/>
                                                                                                                        <w:bottom w:val="none" w:sz="0" w:space="0" w:color="auto"/>
                                                                                                                        <w:right w:val="none" w:sz="0" w:space="0" w:color="auto"/>
                                                                                                                      </w:divBdr>
                                                                                                                      <w:divsChild>
                                                                                                                        <w:div w:id="32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opol.org.uk/memberinfo.htm" TargetMode="External"/><Relationship Id="rId13" Type="http://schemas.openxmlformats.org/officeDocument/2006/relationships/hyperlink" Target="http://www.hmrc.gov.uk/manuals/otmanual/ot28601.htm" TargetMode="External"/><Relationship Id="rId18" Type="http://schemas.openxmlformats.org/officeDocument/2006/relationships/hyperlink" Target="https://www.gov.uk/government/uploads/system/uploads/attachment_data/file/328136/Annex_C_-_Impact_Assessment.doc." TargetMode="External"/><Relationship Id="rId3" Type="http://schemas.openxmlformats.org/officeDocument/2006/relationships/hyperlink" Target="https://www.gov.uk/government/uploads/system/uploads/attachment_data/file/455523/FinancialGuidance.pdf" TargetMode="External"/><Relationship Id="rId7" Type="http://schemas.openxmlformats.org/officeDocument/2006/relationships/hyperlink" Target="http://www.opol.org.uk/agreement.htm" TargetMode="External"/><Relationship Id="rId12" Type="http://schemas.openxmlformats.org/officeDocument/2006/relationships/hyperlink" Target="http://www.inhouselawyer.co.uk/index.php/environment/9847-oil-and-gas-decommissioning" TargetMode="External"/><Relationship Id="rId17" Type="http://schemas.openxmlformats.org/officeDocument/2006/relationships/hyperlink" Target="http://www.tceq.state.tx.us/assets/public/comm_exec/pubs/ctf/014.pdf" TargetMode="External"/><Relationship Id="rId2" Type="http://schemas.openxmlformats.org/officeDocument/2006/relationships/hyperlink" Target="https://www.gov.uk/government/uploads/system/uploads/attachment_data/file/15085/cs-appformguide.doc." TargetMode="External"/><Relationship Id="rId16" Type="http://schemas.openxmlformats.org/officeDocument/2006/relationships/hyperlink" Target="http://www.underminedpromise.org/UnderminedPromiseII.pdf" TargetMode="External"/><Relationship Id="rId20" Type="http://schemas.openxmlformats.org/officeDocument/2006/relationships/hyperlink" Target="https://www.neb-one.gc.ca/bts/ctrg/gnthr/cndlgsprtnct/2016fnnclrqrmntgd/index-eng.html" TargetMode="External"/><Relationship Id="rId1" Type="http://schemas.openxmlformats.org/officeDocument/2006/relationships/hyperlink" Target="http://www.rff.org/files/sharepoint/WorkImages/Download/RFF-DP-01-42.pdf" TargetMode="External"/><Relationship Id="rId6" Type="http://schemas.openxmlformats.org/officeDocument/2006/relationships/hyperlink" Target="https://www.gov.uk/guidance/oil-and-gas-petroleum-licensing-guidance" TargetMode="External"/><Relationship Id="rId11" Type="http://schemas.openxmlformats.org/officeDocument/2006/relationships/hyperlink" Target="http://www.opol.org.uk/" TargetMode="External"/><Relationship Id="rId5" Type="http://schemas.openxmlformats.org/officeDocument/2006/relationships/hyperlink" Target="http://www.gao.gov/new.items/d05658.pdf" TargetMode="External"/><Relationship Id="rId15" Type="http://schemas.openxmlformats.org/officeDocument/2006/relationships/hyperlink" Target="https://www.east-ayrshire.gov.uk/Resources/PDF/C/Coal-Independent-Review-of-the-Regulation-of-Opencast-Coal-Operations-in-East-Ayrshire---Redacted-report-by-the-Independent-Review-Team.pdf" TargetMode="External"/><Relationship Id="rId10" Type="http://schemas.openxmlformats.org/officeDocument/2006/relationships/hyperlink" Target="https://www.gov.uk/government/uploads/system/uploads/attachment_data/file/68885/7265--financial-responsibility-guidelines.doc" TargetMode="External"/><Relationship Id="rId19" Type="http://schemas.openxmlformats.org/officeDocument/2006/relationships/hyperlink" Target="http://www.gao.gov/assets/600/590642.pdf" TargetMode="External"/><Relationship Id="rId4" Type="http://schemas.openxmlformats.org/officeDocument/2006/relationships/hyperlink" Target="http://ec.europa.eu/environment/legal/liability/pdf/insurance_gen_finalrep.pdf" TargetMode="External"/><Relationship Id="rId9" Type="http://schemas.openxmlformats.org/officeDocument/2006/relationships/hyperlink" Target="http://www.opol.org.uk/forms.htm" TargetMode="External"/><Relationship Id="rId14" Type="http://schemas.openxmlformats.org/officeDocument/2006/relationships/hyperlink" Target="http://www.underminedpromise.org/selfbonding-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C92E-96BA-494D-8A7B-5552DCB8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14749</Words>
  <Characters>80878</Characters>
  <Application>Microsoft Office Word</Application>
  <DocSecurity>0</DocSecurity>
  <Lines>673</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2016-03-25T16:23:00Z</dcterms:created>
  <dcterms:modified xsi:type="dcterms:W3CDTF">2016-03-25T16:36:00Z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3a4fd288-1ba1-4166-8b81-71d2da246ff6</vt:lpwstr>
  </property>
</Properties>
</file>