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76" w:rsidRPr="00375888" w:rsidRDefault="00024776" w:rsidP="00024776">
      <w:pPr>
        <w:spacing w:line="480" w:lineRule="auto"/>
        <w:jc w:val="both"/>
        <w:rPr>
          <w:sz w:val="24"/>
          <w:lang w:val="en-GB"/>
        </w:rPr>
      </w:pPr>
      <w:proofErr w:type="gramStart"/>
      <w:r w:rsidRPr="00375888">
        <w:rPr>
          <w:b/>
          <w:sz w:val="24"/>
          <w:lang w:val="en-GB"/>
        </w:rPr>
        <w:t>Table 1.</w:t>
      </w:r>
      <w:proofErr w:type="gramEnd"/>
      <w:r w:rsidRPr="00375888">
        <w:rPr>
          <w:sz w:val="24"/>
          <w:lang w:val="en-GB"/>
        </w:rPr>
        <w:t xml:space="preserve"> Studies included in the meta-analys</w:t>
      </w:r>
      <w:r w:rsidR="002A3C84">
        <w:rPr>
          <w:sz w:val="24"/>
          <w:lang w:val="en-GB"/>
        </w:rPr>
        <w:t>e</w:t>
      </w:r>
      <w:r w:rsidRPr="00375888">
        <w:rPr>
          <w:sz w:val="24"/>
          <w:lang w:val="en-GB"/>
        </w:rPr>
        <w:t>s</w:t>
      </w:r>
    </w:p>
    <w:tbl>
      <w:tblPr>
        <w:tblW w:w="9622" w:type="dxa"/>
        <w:tblInd w:w="10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2127"/>
        <w:gridCol w:w="1525"/>
        <w:gridCol w:w="5970"/>
      </w:tblGrid>
      <w:tr w:rsidR="00024776" w:rsidRPr="00D942BC" w:rsidTr="0082484D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24776" w:rsidRPr="00CB05F4" w:rsidRDefault="00024776" w:rsidP="007D3180">
            <w:pPr>
              <w:spacing w:after="0" w:line="240" w:lineRule="auto"/>
              <w:rPr>
                <w:b/>
                <w:lang w:val="en-GB"/>
              </w:rPr>
            </w:pPr>
            <w:r w:rsidRPr="00CB05F4">
              <w:rPr>
                <w:b/>
                <w:lang w:val="en-GB"/>
              </w:rPr>
              <w:t>Mediterranean-type climate area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24776" w:rsidRPr="00CB05F4" w:rsidRDefault="00024776" w:rsidP="007D3180">
            <w:pPr>
              <w:spacing w:after="0" w:line="240" w:lineRule="auto"/>
              <w:jc w:val="both"/>
              <w:rPr>
                <w:b/>
                <w:lang w:val="en-GB"/>
              </w:rPr>
            </w:pPr>
            <w:r w:rsidRPr="00CB05F4">
              <w:rPr>
                <w:b/>
                <w:lang w:val="en-GB"/>
              </w:rPr>
              <w:t>Country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:rsidR="00024776" w:rsidRPr="00CB05F4" w:rsidRDefault="00024776" w:rsidP="007D3180">
            <w:pPr>
              <w:spacing w:after="0" w:line="240" w:lineRule="auto"/>
              <w:jc w:val="both"/>
              <w:rPr>
                <w:b/>
                <w:lang w:val="en-GB"/>
              </w:rPr>
            </w:pPr>
            <w:r w:rsidRPr="00CB05F4">
              <w:rPr>
                <w:b/>
                <w:lang w:val="en-GB"/>
              </w:rPr>
              <w:t>Studies</w:t>
            </w:r>
          </w:p>
        </w:tc>
      </w:tr>
      <w:tr w:rsidR="00024776" w:rsidRPr="00D942BC" w:rsidTr="0011760B">
        <w:tc>
          <w:tcPr>
            <w:tcW w:w="2127" w:type="dxa"/>
            <w:tcBorders>
              <w:top w:val="single" w:sz="4" w:space="0" w:color="auto"/>
            </w:tcBorders>
          </w:tcPr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  <w:r w:rsidRPr="00CB05F4">
              <w:rPr>
                <w:lang w:val="en-GB"/>
              </w:rPr>
              <w:t>Mediterranean Basin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s-ES_tradnl"/>
              </w:rPr>
            </w:pPr>
            <w:proofErr w:type="spellStart"/>
            <w:r w:rsidRPr="00CB05F4">
              <w:rPr>
                <w:lang w:val="es-ES_tradnl"/>
              </w:rPr>
              <w:t>Spain</w:t>
            </w:r>
            <w:proofErr w:type="spellEnd"/>
          </w:p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024776" w:rsidRDefault="00024776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223BC7" w:rsidRDefault="00223BC7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223BC7" w:rsidRDefault="00223BC7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223BC7" w:rsidRDefault="00223BC7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223BC7" w:rsidRPr="00CB05F4" w:rsidRDefault="00223BC7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s-ES_tradnl"/>
              </w:rPr>
            </w:pPr>
            <w:proofErr w:type="spellStart"/>
            <w:r w:rsidRPr="00CB05F4">
              <w:rPr>
                <w:lang w:val="es-ES_tradnl"/>
              </w:rPr>
              <w:t>Italy</w:t>
            </w:r>
            <w:proofErr w:type="spellEnd"/>
          </w:p>
          <w:p w:rsidR="0011760B" w:rsidRDefault="0011760B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223BC7" w:rsidRDefault="00223BC7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223BC7" w:rsidRDefault="00223BC7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s-ES_tradnl"/>
              </w:rPr>
            </w:pPr>
            <w:r w:rsidRPr="00CB05F4">
              <w:rPr>
                <w:lang w:val="es-ES_tradnl"/>
              </w:rPr>
              <w:t>Israel/Portugal/</w:t>
            </w:r>
            <w:r>
              <w:rPr>
                <w:lang w:val="es-ES_tradnl"/>
              </w:rPr>
              <w:t xml:space="preserve"> </w:t>
            </w:r>
            <w:proofErr w:type="spellStart"/>
            <w:r w:rsidRPr="00CB05F4">
              <w:rPr>
                <w:lang w:val="es-ES_tradnl"/>
              </w:rPr>
              <w:t>Greece</w:t>
            </w:r>
            <w:proofErr w:type="spellEnd"/>
          </w:p>
        </w:tc>
        <w:tc>
          <w:tcPr>
            <w:tcW w:w="5970" w:type="dxa"/>
            <w:tcBorders>
              <w:top w:val="single" w:sz="4" w:space="0" w:color="auto"/>
            </w:tcBorders>
          </w:tcPr>
          <w:p w:rsidR="00024776" w:rsidRDefault="00024776" w:rsidP="007D3180">
            <w:pPr>
              <w:spacing w:after="0" w:line="240" w:lineRule="auto"/>
              <w:jc w:val="both"/>
              <w:rPr>
                <w:noProof/>
                <w:lang w:val="es-ES_tradnl"/>
              </w:rPr>
            </w:pPr>
            <w:r w:rsidRPr="00CB05F4">
              <w:rPr>
                <w:noProof/>
                <w:lang w:val="es-ES_tradnl"/>
              </w:rPr>
              <w:t>(</w:t>
            </w:r>
            <w:r w:rsidR="00223BC7" w:rsidRPr="00CB05F4">
              <w:rPr>
                <w:noProof/>
                <w:lang w:val="es-ES_tradnl"/>
              </w:rPr>
              <w:t>Abalos</w:t>
            </w:r>
            <w:r w:rsidR="00223BC7" w:rsidRPr="00CB05F4">
              <w:rPr>
                <w:i/>
                <w:noProof/>
                <w:lang w:val="es-ES_tradnl"/>
              </w:rPr>
              <w:t xml:space="preserve"> </w:t>
            </w:r>
            <w:r w:rsidR="00223BC7" w:rsidRPr="00CB05F4">
              <w:rPr>
                <w:noProof/>
                <w:lang w:val="es-ES_tradnl"/>
              </w:rPr>
              <w:t>et al., 2012</w:t>
            </w:r>
            <w:r w:rsidR="00223BC7">
              <w:rPr>
                <w:noProof/>
                <w:lang w:val="es-ES_tradnl"/>
              </w:rPr>
              <w:t>, 2013, 2014</w:t>
            </w:r>
            <w:r w:rsidR="00223BC7" w:rsidRPr="00CB05F4">
              <w:rPr>
                <w:noProof/>
                <w:lang w:val="es-ES_tradnl"/>
              </w:rPr>
              <w:t>; Huérfano</w:t>
            </w:r>
            <w:r w:rsidR="00223BC7" w:rsidRPr="00CB05F4">
              <w:rPr>
                <w:i/>
                <w:noProof/>
                <w:lang w:val="es-ES_tradnl"/>
              </w:rPr>
              <w:t xml:space="preserve"> </w:t>
            </w:r>
            <w:r w:rsidR="00223BC7" w:rsidRPr="00CB05F4">
              <w:rPr>
                <w:noProof/>
                <w:lang w:val="es-ES_tradnl"/>
              </w:rPr>
              <w:t xml:space="preserve">et al., 2015; </w:t>
            </w:r>
            <w:r w:rsidRPr="00CB05F4">
              <w:rPr>
                <w:noProof/>
                <w:lang w:val="es-ES_tradnl"/>
              </w:rPr>
              <w:t>López-Fernández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 xml:space="preserve">et al., 2007; </w:t>
            </w:r>
            <w:r w:rsidR="00223BC7" w:rsidRPr="00CB05F4">
              <w:rPr>
                <w:noProof/>
                <w:lang w:val="es-ES_tradnl"/>
              </w:rPr>
              <w:t>Maris</w:t>
            </w:r>
            <w:r w:rsidR="00223BC7" w:rsidRPr="00CB05F4">
              <w:rPr>
                <w:i/>
                <w:noProof/>
                <w:lang w:val="es-ES_tradnl"/>
              </w:rPr>
              <w:t xml:space="preserve"> </w:t>
            </w:r>
            <w:r w:rsidR="00223BC7" w:rsidRPr="00CB05F4">
              <w:rPr>
                <w:noProof/>
                <w:lang w:val="es-ES_tradnl"/>
              </w:rPr>
              <w:t xml:space="preserve">et al., 2015a, 2015b; </w:t>
            </w:r>
            <w:r w:rsidRPr="00CB05F4">
              <w:rPr>
                <w:noProof/>
                <w:lang w:val="es-ES_tradnl"/>
              </w:rPr>
              <w:t>Meijide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>et al., 2007</w:t>
            </w:r>
            <w:r w:rsidR="00223BC7">
              <w:rPr>
                <w:noProof/>
                <w:lang w:val="es-ES_tradnl"/>
              </w:rPr>
              <w:t>, 2009</w:t>
            </w:r>
            <w:r w:rsidRPr="00CB05F4">
              <w:rPr>
                <w:noProof/>
                <w:lang w:val="es-ES_tradnl"/>
              </w:rPr>
              <w:t xml:space="preserve">; </w:t>
            </w:r>
            <w:r w:rsidR="00223BC7" w:rsidRPr="00CB05F4">
              <w:rPr>
                <w:noProof/>
                <w:lang w:val="es-ES_tradnl"/>
              </w:rPr>
              <w:t>Plaza-Bonilla</w:t>
            </w:r>
            <w:r w:rsidR="00223BC7" w:rsidRPr="00CB05F4">
              <w:rPr>
                <w:i/>
                <w:noProof/>
                <w:lang w:val="es-ES_tradnl"/>
              </w:rPr>
              <w:t xml:space="preserve"> </w:t>
            </w:r>
            <w:r w:rsidR="00223BC7" w:rsidRPr="00CB05F4">
              <w:rPr>
                <w:noProof/>
                <w:lang w:val="es-ES_tradnl"/>
              </w:rPr>
              <w:t>et al., 2014; Sánchez-García</w:t>
            </w:r>
            <w:r w:rsidR="00223BC7" w:rsidRPr="00CB05F4">
              <w:rPr>
                <w:i/>
                <w:noProof/>
                <w:lang w:val="es-ES_tradnl"/>
              </w:rPr>
              <w:t xml:space="preserve"> </w:t>
            </w:r>
            <w:r w:rsidR="00223BC7" w:rsidRPr="00CB05F4">
              <w:rPr>
                <w:noProof/>
                <w:lang w:val="es-ES_tradnl"/>
              </w:rPr>
              <w:t>et al., 2016</w:t>
            </w:r>
            <w:r w:rsidR="00223BC7">
              <w:rPr>
                <w:noProof/>
                <w:lang w:val="es-ES_tradnl"/>
              </w:rPr>
              <w:t>;</w:t>
            </w:r>
            <w:r w:rsidR="00223BC7" w:rsidRPr="00CB05F4">
              <w:rPr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>Sánchez-Martín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>et al., 2008, 2010</w:t>
            </w:r>
            <w:r>
              <w:rPr>
                <w:noProof/>
                <w:lang w:val="es-ES_tradnl"/>
              </w:rPr>
              <w:t>a</w:t>
            </w:r>
            <w:r w:rsidRPr="00CB05F4">
              <w:rPr>
                <w:noProof/>
                <w:lang w:val="es-ES_tradnl"/>
              </w:rPr>
              <w:t>, 2010</w:t>
            </w:r>
            <w:r>
              <w:rPr>
                <w:noProof/>
                <w:lang w:val="es-ES_tradnl"/>
              </w:rPr>
              <w:t>b</w:t>
            </w:r>
            <w:r w:rsidRPr="00CB05F4">
              <w:rPr>
                <w:noProof/>
                <w:lang w:val="es-ES_tradnl"/>
              </w:rPr>
              <w:t>; Sanz-Cobena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D93936">
              <w:rPr>
                <w:noProof/>
                <w:lang w:val="es-ES_tradnl"/>
              </w:rPr>
              <w:t>et al., 2012</w:t>
            </w:r>
            <w:r w:rsidRPr="00CB05F4">
              <w:rPr>
                <w:noProof/>
                <w:lang w:val="es-ES_tradnl"/>
              </w:rPr>
              <w:t>, 2014a; Tellez-Rio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 xml:space="preserve">et al., 2015; </w:t>
            </w:r>
            <w:r w:rsidR="00223BC7" w:rsidRPr="00CB05F4">
              <w:rPr>
                <w:noProof/>
                <w:lang w:val="es-ES_tradnl"/>
              </w:rPr>
              <w:t>Vallejo</w:t>
            </w:r>
            <w:r w:rsidR="00223BC7" w:rsidRPr="00CB05F4">
              <w:rPr>
                <w:i/>
                <w:noProof/>
                <w:lang w:val="es-ES_tradnl"/>
              </w:rPr>
              <w:t xml:space="preserve"> </w:t>
            </w:r>
            <w:r w:rsidR="00223BC7" w:rsidRPr="00CB05F4">
              <w:rPr>
                <w:noProof/>
                <w:lang w:val="es-ES_tradnl"/>
              </w:rPr>
              <w:t>et al., 2005, 2006</w:t>
            </w:r>
            <w:r w:rsidR="00223BC7">
              <w:rPr>
                <w:noProof/>
                <w:lang w:val="es-ES_tradnl"/>
              </w:rPr>
              <w:t>, 2014</w:t>
            </w:r>
            <w:r w:rsidRPr="00CB05F4">
              <w:rPr>
                <w:noProof/>
                <w:lang w:val="es-ES_tradnl"/>
              </w:rPr>
              <w:t>)</w:t>
            </w:r>
          </w:p>
          <w:p w:rsidR="00223BC7" w:rsidRPr="00CB05F4" w:rsidRDefault="00223BC7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024776" w:rsidRDefault="00024776" w:rsidP="007D3180">
            <w:pPr>
              <w:spacing w:after="0" w:line="240" w:lineRule="auto"/>
              <w:jc w:val="both"/>
              <w:rPr>
                <w:noProof/>
                <w:lang w:val="es-ES_tradnl"/>
              </w:rPr>
            </w:pPr>
            <w:r w:rsidRPr="00CB05F4">
              <w:rPr>
                <w:noProof/>
                <w:lang w:val="es-ES_tradnl"/>
              </w:rPr>
              <w:t>(Alluvione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 xml:space="preserve">et al., 2010; </w:t>
            </w:r>
            <w:r w:rsidR="00223BC7" w:rsidRPr="00CB05F4">
              <w:rPr>
                <w:noProof/>
                <w:lang w:val="es-ES_tradnl"/>
              </w:rPr>
              <w:t>Bosco</w:t>
            </w:r>
            <w:r w:rsidR="00223BC7" w:rsidRPr="00CB05F4">
              <w:rPr>
                <w:i/>
                <w:noProof/>
                <w:lang w:val="es-ES_tradnl"/>
              </w:rPr>
              <w:t xml:space="preserve"> </w:t>
            </w:r>
            <w:r w:rsidR="00223BC7" w:rsidRPr="00CB05F4">
              <w:rPr>
                <w:noProof/>
                <w:lang w:val="es-ES_tradnl"/>
              </w:rPr>
              <w:t>et al., 2015</w:t>
            </w:r>
            <w:r w:rsidR="00223BC7">
              <w:rPr>
                <w:noProof/>
                <w:lang w:val="es-ES_tradnl"/>
              </w:rPr>
              <w:t>;</w:t>
            </w:r>
            <w:r w:rsidR="00223BC7" w:rsidRPr="00CB05F4">
              <w:rPr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>Castaldi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 xml:space="preserve">et al., 2011; </w:t>
            </w:r>
            <w:r w:rsidR="00223BC7" w:rsidRPr="00CB05F4">
              <w:rPr>
                <w:noProof/>
                <w:lang w:val="es-ES_tradnl"/>
              </w:rPr>
              <w:t xml:space="preserve">Pappa </w:t>
            </w:r>
            <w:r w:rsidR="00223BC7" w:rsidRPr="002A3C84">
              <w:rPr>
                <w:noProof/>
                <w:lang w:val="es-ES_tradnl"/>
              </w:rPr>
              <w:t>et al.</w:t>
            </w:r>
            <w:r w:rsidR="00223BC7" w:rsidRPr="00CB05F4">
              <w:rPr>
                <w:noProof/>
                <w:lang w:val="es-ES_tradnl"/>
              </w:rPr>
              <w:t xml:space="preserve">, </w:t>
            </w:r>
            <w:r w:rsidR="00223BC7">
              <w:rPr>
                <w:noProof/>
                <w:lang w:val="es-ES_tradnl"/>
              </w:rPr>
              <w:t>unpublished data;</w:t>
            </w:r>
            <w:r w:rsidR="00223BC7" w:rsidRPr="00CB05F4">
              <w:rPr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>Ranucci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>et al., 2011; Rees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>et al., 2013; Vitale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>et al., 2013)</w:t>
            </w:r>
          </w:p>
          <w:p w:rsidR="00223BC7" w:rsidRPr="00CB05F4" w:rsidRDefault="00223BC7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024776" w:rsidRPr="00CB05F4" w:rsidRDefault="00024776" w:rsidP="007D3180">
            <w:pPr>
              <w:spacing w:after="0" w:line="240" w:lineRule="auto"/>
              <w:jc w:val="both"/>
            </w:pPr>
            <w:r w:rsidRPr="00E565A5">
              <w:rPr>
                <w:noProof/>
              </w:rPr>
              <w:t>(Heller</w:t>
            </w:r>
            <w:r w:rsidRPr="00E565A5">
              <w:rPr>
                <w:i/>
                <w:noProof/>
              </w:rPr>
              <w:t xml:space="preserve"> </w:t>
            </w:r>
            <w:r w:rsidRPr="00E565A5">
              <w:rPr>
                <w:noProof/>
              </w:rPr>
              <w:t xml:space="preserve">et al., 2010; </w:t>
            </w:r>
            <w:r w:rsidRPr="000A3790">
              <w:rPr>
                <w:noProof/>
              </w:rPr>
              <w:t>Kontopoulou</w:t>
            </w:r>
            <w:r w:rsidRPr="000A3790">
              <w:rPr>
                <w:i/>
                <w:noProof/>
              </w:rPr>
              <w:t xml:space="preserve"> </w:t>
            </w:r>
            <w:r w:rsidRPr="000A3790">
              <w:rPr>
                <w:noProof/>
              </w:rPr>
              <w:t>et al., 2015</w:t>
            </w:r>
            <w:r w:rsidR="00223BC7">
              <w:rPr>
                <w:noProof/>
              </w:rPr>
              <w:t>, unpublished data</w:t>
            </w:r>
            <w:r w:rsidRPr="000A3790">
              <w:rPr>
                <w:noProof/>
              </w:rPr>
              <w:t xml:space="preserve">; Pappa </w:t>
            </w:r>
            <w:r w:rsidRPr="00761C24">
              <w:rPr>
                <w:noProof/>
              </w:rPr>
              <w:t>et al.,</w:t>
            </w:r>
            <w:r w:rsidRPr="00CB05F4">
              <w:rPr>
                <w:noProof/>
              </w:rPr>
              <w:t xml:space="preserve"> </w:t>
            </w:r>
            <w:r w:rsidR="00327A3C">
              <w:rPr>
                <w:noProof/>
              </w:rPr>
              <w:t>2016</w:t>
            </w:r>
            <w:r w:rsidR="00935CD0">
              <w:rPr>
                <w:noProof/>
              </w:rPr>
              <w:t xml:space="preserve">; </w:t>
            </w:r>
            <w:r w:rsidR="00223BC7" w:rsidRPr="00E565A5">
              <w:rPr>
                <w:noProof/>
              </w:rPr>
              <w:t>Pereira</w:t>
            </w:r>
            <w:r w:rsidR="00223BC7" w:rsidRPr="000A3790">
              <w:rPr>
                <w:i/>
                <w:noProof/>
              </w:rPr>
              <w:t xml:space="preserve"> </w:t>
            </w:r>
            <w:r w:rsidR="00223BC7" w:rsidRPr="000A3790">
              <w:rPr>
                <w:noProof/>
              </w:rPr>
              <w:t>et al., 2013</w:t>
            </w:r>
            <w:r w:rsidRPr="00CB05F4">
              <w:rPr>
                <w:noProof/>
              </w:rPr>
              <w:t>)</w:t>
            </w:r>
          </w:p>
        </w:tc>
      </w:tr>
      <w:tr w:rsidR="00024776" w:rsidRPr="00D942BC" w:rsidTr="0011760B">
        <w:tc>
          <w:tcPr>
            <w:tcW w:w="2127" w:type="dxa"/>
          </w:tcPr>
          <w:p w:rsidR="00024776" w:rsidRPr="00E565A5" w:rsidRDefault="00024776" w:rsidP="007D3180">
            <w:pPr>
              <w:spacing w:after="0" w:line="240" w:lineRule="auto"/>
              <w:jc w:val="both"/>
            </w:pPr>
          </w:p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  <w:r w:rsidRPr="00CB05F4">
              <w:rPr>
                <w:lang w:val="en-GB"/>
              </w:rPr>
              <w:t>Australia</w:t>
            </w:r>
          </w:p>
        </w:tc>
        <w:tc>
          <w:tcPr>
            <w:tcW w:w="1525" w:type="dxa"/>
          </w:tcPr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</w:p>
          <w:p w:rsidR="00024776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  <w:r w:rsidRPr="00CB05F4">
              <w:rPr>
                <w:lang w:val="en-GB"/>
              </w:rPr>
              <w:t>Australia</w:t>
            </w:r>
          </w:p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5970" w:type="dxa"/>
          </w:tcPr>
          <w:p w:rsidR="00024776" w:rsidRPr="00E565A5" w:rsidRDefault="00024776" w:rsidP="007D3180">
            <w:pPr>
              <w:spacing w:after="0" w:line="240" w:lineRule="auto"/>
              <w:jc w:val="both"/>
            </w:pPr>
          </w:p>
          <w:p w:rsidR="00024776" w:rsidRPr="00CB05F4" w:rsidRDefault="00024776" w:rsidP="007D3180">
            <w:pPr>
              <w:spacing w:after="0" w:line="240" w:lineRule="auto"/>
              <w:jc w:val="both"/>
            </w:pPr>
            <w:r w:rsidRPr="000A3790">
              <w:rPr>
                <w:noProof/>
              </w:rPr>
              <w:t>(Barton</w:t>
            </w:r>
            <w:r w:rsidRPr="000A3790">
              <w:rPr>
                <w:i/>
                <w:noProof/>
              </w:rPr>
              <w:t xml:space="preserve"> </w:t>
            </w:r>
            <w:r w:rsidRPr="000A3790">
              <w:rPr>
                <w:noProof/>
              </w:rPr>
              <w:t>et al., 2008</w:t>
            </w:r>
            <w:r w:rsidRPr="00CB05F4">
              <w:rPr>
                <w:noProof/>
              </w:rPr>
              <w:t>, 2010</w:t>
            </w:r>
            <w:r w:rsidR="00223BC7">
              <w:rPr>
                <w:noProof/>
              </w:rPr>
              <w:t>, 2013</w:t>
            </w:r>
            <w:r w:rsidRPr="00CB05F4">
              <w:rPr>
                <w:noProof/>
              </w:rPr>
              <w:t>; Li</w:t>
            </w:r>
            <w:r w:rsidRPr="00CB05F4">
              <w:rPr>
                <w:i/>
                <w:noProof/>
              </w:rPr>
              <w:t xml:space="preserve"> </w:t>
            </w:r>
            <w:r w:rsidRPr="00CB05F4">
              <w:rPr>
                <w:noProof/>
              </w:rPr>
              <w:t>et al., 2011)</w:t>
            </w:r>
          </w:p>
        </w:tc>
      </w:tr>
      <w:tr w:rsidR="00024776" w:rsidRPr="00D942BC" w:rsidTr="0011760B">
        <w:tc>
          <w:tcPr>
            <w:tcW w:w="2127" w:type="dxa"/>
          </w:tcPr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  <w:r w:rsidRPr="00CB05F4">
              <w:rPr>
                <w:lang w:val="en-GB"/>
              </w:rPr>
              <w:t>California</w:t>
            </w:r>
          </w:p>
        </w:tc>
        <w:tc>
          <w:tcPr>
            <w:tcW w:w="1525" w:type="dxa"/>
          </w:tcPr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  <w:r w:rsidRPr="00CB05F4">
              <w:rPr>
                <w:lang w:val="en-GB"/>
              </w:rPr>
              <w:t>USA</w:t>
            </w:r>
          </w:p>
        </w:tc>
        <w:tc>
          <w:tcPr>
            <w:tcW w:w="5970" w:type="dxa"/>
          </w:tcPr>
          <w:p w:rsidR="00024776" w:rsidRPr="00CB05F4" w:rsidRDefault="00024776" w:rsidP="007D3180">
            <w:pPr>
              <w:spacing w:after="0" w:line="240" w:lineRule="auto"/>
              <w:jc w:val="both"/>
            </w:pPr>
            <w:r w:rsidRPr="00E565A5">
              <w:rPr>
                <w:noProof/>
              </w:rPr>
              <w:t>(</w:t>
            </w:r>
            <w:r w:rsidR="00223BC7" w:rsidRPr="00CB05F4">
              <w:rPr>
                <w:noProof/>
              </w:rPr>
              <w:t>Alsina</w:t>
            </w:r>
            <w:r w:rsidR="00223BC7" w:rsidRPr="00CB05F4">
              <w:rPr>
                <w:i/>
                <w:noProof/>
              </w:rPr>
              <w:t xml:space="preserve"> </w:t>
            </w:r>
            <w:r w:rsidR="00223BC7" w:rsidRPr="00CB05F4">
              <w:rPr>
                <w:noProof/>
              </w:rPr>
              <w:t>et al., 2013; Angst</w:t>
            </w:r>
            <w:r w:rsidR="00223BC7" w:rsidRPr="00CB05F4">
              <w:rPr>
                <w:i/>
                <w:noProof/>
              </w:rPr>
              <w:t xml:space="preserve"> </w:t>
            </w:r>
            <w:r w:rsidR="00223BC7" w:rsidRPr="00CB05F4">
              <w:rPr>
                <w:noProof/>
              </w:rPr>
              <w:t>et al., 2014; Garland</w:t>
            </w:r>
            <w:r w:rsidR="00223BC7" w:rsidRPr="00CB05F4">
              <w:rPr>
                <w:i/>
                <w:noProof/>
              </w:rPr>
              <w:t xml:space="preserve"> </w:t>
            </w:r>
            <w:r w:rsidR="00223BC7" w:rsidRPr="00CB05F4">
              <w:rPr>
                <w:noProof/>
              </w:rPr>
              <w:t>et al., 2011</w:t>
            </w:r>
            <w:r w:rsidR="00223BC7">
              <w:rPr>
                <w:noProof/>
              </w:rPr>
              <w:t>, 2014</w:t>
            </w:r>
            <w:r w:rsidR="00223BC7" w:rsidRPr="00CB05F4">
              <w:rPr>
                <w:noProof/>
              </w:rPr>
              <w:t xml:space="preserve">; </w:t>
            </w:r>
            <w:r w:rsidR="00223BC7" w:rsidRPr="000A3790">
              <w:rPr>
                <w:noProof/>
              </w:rPr>
              <w:t>Kallenbach</w:t>
            </w:r>
            <w:r w:rsidR="00223BC7" w:rsidRPr="000A3790">
              <w:rPr>
                <w:i/>
                <w:noProof/>
              </w:rPr>
              <w:t xml:space="preserve"> </w:t>
            </w:r>
            <w:r w:rsidR="00223BC7" w:rsidRPr="000A3790">
              <w:rPr>
                <w:noProof/>
              </w:rPr>
              <w:t>et al.</w:t>
            </w:r>
            <w:r w:rsidR="00223BC7" w:rsidRPr="00CB05F4">
              <w:rPr>
                <w:noProof/>
              </w:rPr>
              <w:t>, 2010</w:t>
            </w:r>
            <w:r w:rsidR="00223BC7">
              <w:rPr>
                <w:noProof/>
              </w:rPr>
              <w:t xml:space="preserve">; </w:t>
            </w:r>
            <w:r w:rsidR="00223BC7" w:rsidRPr="00CB05F4">
              <w:rPr>
                <w:noProof/>
              </w:rPr>
              <w:t>Kennedy</w:t>
            </w:r>
            <w:r w:rsidR="00223BC7" w:rsidRPr="00CB05F4">
              <w:rPr>
                <w:i/>
                <w:noProof/>
              </w:rPr>
              <w:t xml:space="preserve"> </w:t>
            </w:r>
            <w:r w:rsidR="00223BC7" w:rsidRPr="00CB05F4">
              <w:rPr>
                <w:noProof/>
              </w:rPr>
              <w:t xml:space="preserve">et al., 2013; </w:t>
            </w:r>
            <w:r w:rsidRPr="00E565A5">
              <w:rPr>
                <w:noProof/>
              </w:rPr>
              <w:t>Kong</w:t>
            </w:r>
            <w:r w:rsidRPr="00E565A5">
              <w:rPr>
                <w:i/>
                <w:noProof/>
              </w:rPr>
              <w:t xml:space="preserve"> </w:t>
            </w:r>
            <w:r w:rsidRPr="00E565A5">
              <w:rPr>
                <w:noProof/>
              </w:rPr>
              <w:t>et al.</w:t>
            </w:r>
            <w:r w:rsidRPr="000A3790">
              <w:rPr>
                <w:noProof/>
              </w:rPr>
              <w:t>, 2009; Lee</w:t>
            </w:r>
            <w:r w:rsidRPr="000A3790">
              <w:rPr>
                <w:i/>
                <w:noProof/>
              </w:rPr>
              <w:t xml:space="preserve"> </w:t>
            </w:r>
            <w:r w:rsidRPr="000A3790">
              <w:rPr>
                <w:noProof/>
              </w:rPr>
              <w:t>et al., 2009</w:t>
            </w:r>
            <w:r w:rsidRPr="00CB05F4">
              <w:rPr>
                <w:noProof/>
              </w:rPr>
              <w:t xml:space="preserve">; </w:t>
            </w:r>
            <w:r w:rsidR="00223BC7" w:rsidRPr="00CB05F4">
              <w:rPr>
                <w:noProof/>
              </w:rPr>
              <w:t>Pittelkow</w:t>
            </w:r>
            <w:r w:rsidR="00223BC7" w:rsidRPr="00CB05F4">
              <w:rPr>
                <w:i/>
                <w:noProof/>
              </w:rPr>
              <w:t xml:space="preserve"> </w:t>
            </w:r>
            <w:r w:rsidR="00223BC7" w:rsidRPr="00CB05F4">
              <w:rPr>
                <w:noProof/>
              </w:rPr>
              <w:t xml:space="preserve">et al., 2013; </w:t>
            </w:r>
            <w:r w:rsidRPr="00CB05F4">
              <w:rPr>
                <w:noProof/>
              </w:rPr>
              <w:t>Schellenberg</w:t>
            </w:r>
            <w:r w:rsidRPr="00CB05F4">
              <w:rPr>
                <w:i/>
                <w:noProof/>
              </w:rPr>
              <w:t xml:space="preserve"> </w:t>
            </w:r>
            <w:r w:rsidRPr="00CB05F4">
              <w:rPr>
                <w:noProof/>
              </w:rPr>
              <w:t xml:space="preserve">et al., 2012; </w:t>
            </w:r>
            <w:r w:rsidR="00223BC7" w:rsidRPr="00CB05F4">
              <w:rPr>
                <w:noProof/>
              </w:rPr>
              <w:t>Simmonds</w:t>
            </w:r>
            <w:r w:rsidR="00223BC7" w:rsidRPr="00CB05F4">
              <w:rPr>
                <w:i/>
                <w:noProof/>
              </w:rPr>
              <w:t xml:space="preserve"> </w:t>
            </w:r>
            <w:r w:rsidR="00223BC7" w:rsidRPr="00CB05F4">
              <w:rPr>
                <w:noProof/>
              </w:rPr>
              <w:t>et al., 2015; Suddick and Six, 2013; Townsend-Small</w:t>
            </w:r>
            <w:r w:rsidR="00223BC7" w:rsidRPr="00CB05F4">
              <w:rPr>
                <w:i/>
                <w:noProof/>
              </w:rPr>
              <w:t xml:space="preserve"> </w:t>
            </w:r>
            <w:r w:rsidR="00223BC7" w:rsidRPr="00CB05F4">
              <w:rPr>
                <w:noProof/>
              </w:rPr>
              <w:t>et al., 2011;</w:t>
            </w:r>
            <w:r w:rsidRPr="00CB05F4">
              <w:rPr>
                <w:noProof/>
              </w:rPr>
              <w:t xml:space="preserve"> Verhoeven and Six, 2014; Zhu-Barker</w:t>
            </w:r>
            <w:r w:rsidRPr="00CB05F4">
              <w:rPr>
                <w:i/>
                <w:noProof/>
              </w:rPr>
              <w:t xml:space="preserve"> </w:t>
            </w:r>
            <w:r w:rsidRPr="00CB05F4">
              <w:rPr>
                <w:noProof/>
              </w:rPr>
              <w:t>et al., 2015)</w:t>
            </w:r>
          </w:p>
        </w:tc>
      </w:tr>
      <w:tr w:rsidR="00024776" w:rsidRPr="00365E84" w:rsidTr="00375888">
        <w:trPr>
          <w:trHeight w:val="753"/>
        </w:trPr>
        <w:tc>
          <w:tcPr>
            <w:tcW w:w="2127" w:type="dxa"/>
            <w:tcBorders>
              <w:bottom w:val="single" w:sz="4" w:space="0" w:color="auto"/>
            </w:tcBorders>
          </w:tcPr>
          <w:p w:rsidR="00024776" w:rsidRPr="00E565A5" w:rsidRDefault="00024776" w:rsidP="007D3180">
            <w:pPr>
              <w:spacing w:after="0" w:line="240" w:lineRule="auto"/>
              <w:jc w:val="both"/>
            </w:pPr>
          </w:p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  <w:r w:rsidRPr="00CB05F4">
              <w:rPr>
                <w:lang w:val="en-GB"/>
              </w:rPr>
              <w:t>Chile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</w:p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n-GB"/>
              </w:rPr>
            </w:pPr>
            <w:r w:rsidRPr="00CB05F4">
              <w:rPr>
                <w:lang w:val="en-GB"/>
              </w:rPr>
              <w:t>Chile</w:t>
            </w:r>
          </w:p>
        </w:tc>
        <w:tc>
          <w:tcPr>
            <w:tcW w:w="5970" w:type="dxa"/>
            <w:tcBorders>
              <w:bottom w:val="single" w:sz="4" w:space="0" w:color="auto"/>
            </w:tcBorders>
          </w:tcPr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024776" w:rsidRPr="00CB05F4" w:rsidRDefault="00024776" w:rsidP="007D3180">
            <w:pPr>
              <w:spacing w:after="0" w:line="240" w:lineRule="auto"/>
              <w:jc w:val="both"/>
              <w:rPr>
                <w:lang w:val="es-ES_tradnl"/>
              </w:rPr>
            </w:pPr>
            <w:r w:rsidRPr="00CB05F4">
              <w:rPr>
                <w:noProof/>
                <w:lang w:val="es-ES_tradnl"/>
              </w:rPr>
              <w:t>(</w:t>
            </w:r>
            <w:r w:rsidR="00223BC7" w:rsidRPr="00CB05F4">
              <w:rPr>
                <w:noProof/>
                <w:lang w:val="es-ES_tradnl"/>
              </w:rPr>
              <w:t>Hube</w:t>
            </w:r>
            <w:r w:rsidR="00223BC7" w:rsidRPr="00CB05F4">
              <w:rPr>
                <w:i/>
                <w:noProof/>
                <w:lang w:val="es-ES_tradnl"/>
              </w:rPr>
              <w:t xml:space="preserve"> </w:t>
            </w:r>
            <w:r w:rsidR="00223BC7" w:rsidRPr="00CB05F4">
              <w:rPr>
                <w:noProof/>
                <w:lang w:val="es-ES_tradnl"/>
              </w:rPr>
              <w:t>et al., 2016</w:t>
            </w:r>
            <w:r w:rsidR="00223BC7">
              <w:rPr>
                <w:noProof/>
                <w:lang w:val="es-ES_tradnl"/>
              </w:rPr>
              <w:t xml:space="preserve">; </w:t>
            </w:r>
            <w:r w:rsidRPr="00CB05F4">
              <w:rPr>
                <w:noProof/>
                <w:lang w:val="es-ES_tradnl"/>
              </w:rPr>
              <w:t>Vistoso</w:t>
            </w:r>
            <w:r w:rsidRPr="00CB05F4">
              <w:rPr>
                <w:i/>
                <w:noProof/>
                <w:lang w:val="es-ES_tradnl"/>
              </w:rPr>
              <w:t xml:space="preserve"> </w:t>
            </w:r>
            <w:r w:rsidRPr="00CB05F4">
              <w:rPr>
                <w:noProof/>
                <w:lang w:val="es-ES_tradnl"/>
              </w:rPr>
              <w:t>et al., 2012)</w:t>
            </w:r>
          </w:p>
        </w:tc>
      </w:tr>
    </w:tbl>
    <w:p w:rsidR="00024776" w:rsidRPr="00CB05F4" w:rsidRDefault="00024776" w:rsidP="00024776">
      <w:pPr>
        <w:rPr>
          <w:lang w:val="es-ES_tradnl"/>
        </w:rPr>
      </w:pPr>
    </w:p>
    <w:p w:rsidR="0011760B" w:rsidRDefault="0011760B">
      <w:pPr>
        <w:spacing w:after="160" w:line="259" w:lineRule="auto"/>
        <w:rPr>
          <w:lang w:val="es-ES_tradnl"/>
        </w:rPr>
      </w:pPr>
      <w:r>
        <w:rPr>
          <w:lang w:val="es-ES_tradnl"/>
        </w:rPr>
        <w:br w:type="page"/>
      </w:r>
    </w:p>
    <w:p w:rsidR="00024776" w:rsidRPr="00375888" w:rsidRDefault="00024776" w:rsidP="00E7064A">
      <w:pPr>
        <w:jc w:val="both"/>
        <w:rPr>
          <w:sz w:val="24"/>
          <w:lang w:val="es-ES_tradnl"/>
        </w:rPr>
      </w:pPr>
      <w:proofErr w:type="gramStart"/>
      <w:r w:rsidRPr="007D3180">
        <w:rPr>
          <w:b/>
          <w:color w:val="000000" w:themeColor="text1"/>
          <w:sz w:val="24"/>
          <w:lang w:val="en-GB"/>
        </w:rPr>
        <w:lastRenderedPageBreak/>
        <w:t>Table 2.</w:t>
      </w:r>
      <w:proofErr w:type="gramEnd"/>
      <w:r w:rsidRPr="007D3180">
        <w:rPr>
          <w:color w:val="000000" w:themeColor="text1"/>
          <w:sz w:val="24"/>
          <w:lang w:val="en-GB"/>
        </w:rPr>
        <w:t xml:space="preserve"> </w:t>
      </w:r>
      <w:proofErr w:type="gramStart"/>
      <w:r w:rsidR="00223BC7">
        <w:rPr>
          <w:color w:val="000000" w:themeColor="text1"/>
          <w:sz w:val="24"/>
          <w:lang w:val="en-GB"/>
        </w:rPr>
        <w:t xml:space="preserve">The </w:t>
      </w:r>
      <w:r w:rsidR="00223BC7">
        <w:rPr>
          <w:noProof/>
          <w:color w:val="000000" w:themeColor="text1"/>
          <w:sz w:val="24"/>
          <w:lang w:val="en-GB"/>
        </w:rPr>
        <w:t>n</w:t>
      </w:r>
      <w:r w:rsidRPr="00375888">
        <w:rPr>
          <w:noProof/>
          <w:color w:val="000000" w:themeColor="text1"/>
          <w:sz w:val="24"/>
          <w:lang w:val="en-GB"/>
        </w:rPr>
        <w:t>umber</w:t>
      </w:r>
      <w:r w:rsidRPr="00375888">
        <w:rPr>
          <w:color w:val="000000" w:themeColor="text1"/>
          <w:sz w:val="24"/>
          <w:lang w:val="en-GB"/>
        </w:rPr>
        <w:t xml:space="preserve"> of observations (N), mean and standard deviation (SD) of cumulative N</w:t>
      </w:r>
      <w:r w:rsidRPr="00375888">
        <w:rPr>
          <w:color w:val="000000" w:themeColor="text1"/>
          <w:sz w:val="24"/>
          <w:vertAlign w:val="subscript"/>
          <w:lang w:val="en-GB"/>
        </w:rPr>
        <w:t>2</w:t>
      </w:r>
      <w:r w:rsidR="00DD4236" w:rsidRPr="00375888">
        <w:rPr>
          <w:color w:val="000000" w:themeColor="text1"/>
          <w:sz w:val="24"/>
          <w:lang w:val="en-GB"/>
        </w:rPr>
        <w:t>O emissions</w:t>
      </w:r>
      <w:r w:rsidR="004E39F6" w:rsidRPr="00375888">
        <w:rPr>
          <w:color w:val="000000" w:themeColor="text1"/>
          <w:sz w:val="24"/>
          <w:lang w:val="en-GB"/>
        </w:rPr>
        <w:t xml:space="preserve">, N </w:t>
      </w:r>
      <w:r w:rsidR="00B64A6A" w:rsidRPr="00375888">
        <w:rPr>
          <w:color w:val="000000" w:themeColor="text1"/>
          <w:sz w:val="24"/>
          <w:lang w:val="en-GB"/>
        </w:rPr>
        <w:t>application</w:t>
      </w:r>
      <w:r w:rsidR="004E39F6" w:rsidRPr="00375888">
        <w:rPr>
          <w:color w:val="000000" w:themeColor="text1"/>
          <w:sz w:val="24"/>
          <w:lang w:val="en-GB"/>
        </w:rPr>
        <w:t xml:space="preserve"> rate and experiment </w:t>
      </w:r>
      <w:r w:rsidR="00B64A6A" w:rsidRPr="00375888">
        <w:rPr>
          <w:color w:val="000000" w:themeColor="text1"/>
          <w:sz w:val="24"/>
          <w:lang w:val="en-GB"/>
        </w:rPr>
        <w:t>duration</w:t>
      </w:r>
      <w:r w:rsidRPr="00375888">
        <w:rPr>
          <w:color w:val="000000" w:themeColor="text1"/>
          <w:sz w:val="24"/>
          <w:lang w:val="en-GB"/>
        </w:rPr>
        <w:t xml:space="preserve"> for some of the factors with a significant influence on N</w:t>
      </w:r>
      <w:r w:rsidRPr="00375888">
        <w:rPr>
          <w:color w:val="000000" w:themeColor="text1"/>
          <w:sz w:val="24"/>
          <w:vertAlign w:val="subscript"/>
          <w:lang w:val="en-GB"/>
        </w:rPr>
        <w:t>2</w:t>
      </w:r>
      <w:r w:rsidRPr="00375888">
        <w:rPr>
          <w:color w:val="000000" w:themeColor="text1"/>
          <w:sz w:val="24"/>
          <w:lang w:val="en-GB"/>
        </w:rPr>
        <w:t>O emissions from agricultural fields</w:t>
      </w:r>
      <w:r w:rsidR="00DD4236" w:rsidRPr="00375888">
        <w:rPr>
          <w:color w:val="000000" w:themeColor="text1"/>
          <w:sz w:val="24"/>
          <w:lang w:val="en-GB"/>
        </w:rPr>
        <w:t>.</w:t>
      </w:r>
      <w:proofErr w:type="gramEnd"/>
    </w:p>
    <w:tbl>
      <w:tblPr>
        <w:tblStyle w:val="Sombreadoclaro"/>
        <w:tblW w:w="8796" w:type="dxa"/>
        <w:tblLayout w:type="fixed"/>
        <w:tblLook w:val="06A0" w:firstRow="1" w:lastRow="0" w:firstColumn="1" w:lastColumn="0" w:noHBand="1" w:noVBand="1"/>
      </w:tblPr>
      <w:tblGrid>
        <w:gridCol w:w="1809"/>
        <w:gridCol w:w="426"/>
        <w:gridCol w:w="141"/>
        <w:gridCol w:w="805"/>
        <w:gridCol w:w="1038"/>
        <w:gridCol w:w="1134"/>
        <w:gridCol w:w="1134"/>
        <w:gridCol w:w="1134"/>
        <w:gridCol w:w="1175"/>
      </w:tblGrid>
      <w:tr w:rsidR="007D3180" w:rsidRPr="004D2A9B" w:rsidTr="00F5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bottom"/>
          </w:tcPr>
          <w:p w:rsidR="007D3180" w:rsidRPr="004D2A9B" w:rsidRDefault="007D3180" w:rsidP="007D3180">
            <w:pPr>
              <w:rPr>
                <w:color w:val="auto"/>
                <w:lang w:val="en-GB"/>
              </w:rPr>
            </w:pPr>
          </w:p>
        </w:tc>
        <w:tc>
          <w:tcPr>
            <w:tcW w:w="2410" w:type="dxa"/>
            <w:gridSpan w:val="4"/>
          </w:tcPr>
          <w:p w:rsidR="007D3180" w:rsidRDefault="007D3180" w:rsidP="007D318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Cumulative N</w:t>
            </w:r>
            <w:r w:rsidRPr="00572091">
              <w:rPr>
                <w:color w:val="auto"/>
                <w:vertAlign w:val="subscript"/>
                <w:lang w:val="en-GB"/>
              </w:rPr>
              <w:t>2</w:t>
            </w:r>
            <w:r>
              <w:rPr>
                <w:color w:val="auto"/>
                <w:lang w:val="en-GB"/>
              </w:rPr>
              <w:t xml:space="preserve">O emissions </w:t>
            </w:r>
          </w:p>
          <w:p w:rsidR="007D3180" w:rsidRPr="004D2A9B" w:rsidRDefault="007D3180" w:rsidP="007D318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(kg N</w:t>
            </w:r>
            <w:r w:rsidRPr="00572091">
              <w:rPr>
                <w:color w:val="auto"/>
                <w:vertAlign w:val="subscript"/>
                <w:lang w:val="en-GB"/>
              </w:rPr>
              <w:t>2</w:t>
            </w:r>
            <w:r>
              <w:rPr>
                <w:color w:val="auto"/>
                <w:lang w:val="en-GB"/>
              </w:rPr>
              <w:t>O-N ha</w:t>
            </w:r>
            <w:r>
              <w:rPr>
                <w:color w:val="auto"/>
                <w:vertAlign w:val="superscript"/>
                <w:lang w:val="en-GB"/>
              </w:rPr>
              <w:t>–</w:t>
            </w:r>
            <w:r w:rsidRPr="00572091">
              <w:rPr>
                <w:color w:val="auto"/>
                <w:vertAlign w:val="superscript"/>
                <w:lang w:val="en-GB"/>
              </w:rPr>
              <w:t>1</w:t>
            </w:r>
            <w:r>
              <w:rPr>
                <w:color w:val="auto"/>
                <w:lang w:val="en-GB"/>
              </w:rPr>
              <w:t>)</w:t>
            </w:r>
          </w:p>
        </w:tc>
        <w:tc>
          <w:tcPr>
            <w:tcW w:w="2268" w:type="dxa"/>
            <w:gridSpan w:val="2"/>
            <w:vAlign w:val="bottom"/>
          </w:tcPr>
          <w:p w:rsidR="007D3180" w:rsidRDefault="007D3180" w:rsidP="007D318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N application rate</w:t>
            </w:r>
          </w:p>
          <w:p w:rsidR="007D3180" w:rsidRPr="004D2A9B" w:rsidRDefault="007D3180" w:rsidP="007D318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(kg N ha</w:t>
            </w:r>
            <w:r>
              <w:rPr>
                <w:color w:val="auto"/>
                <w:vertAlign w:val="superscript"/>
                <w:lang w:val="en-GB"/>
              </w:rPr>
              <w:t>–</w:t>
            </w:r>
            <w:r w:rsidRPr="00572091">
              <w:rPr>
                <w:color w:val="auto"/>
                <w:vertAlign w:val="superscript"/>
                <w:lang w:val="en-GB"/>
              </w:rPr>
              <w:t>1</w:t>
            </w:r>
            <w:r>
              <w:rPr>
                <w:color w:val="auto"/>
                <w:lang w:val="en-GB"/>
              </w:rPr>
              <w:t>)</w:t>
            </w:r>
          </w:p>
        </w:tc>
        <w:tc>
          <w:tcPr>
            <w:tcW w:w="2309" w:type="dxa"/>
            <w:gridSpan w:val="2"/>
          </w:tcPr>
          <w:p w:rsidR="007D3180" w:rsidRDefault="007D3180" w:rsidP="007D318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Experiment duration</w:t>
            </w:r>
          </w:p>
          <w:p w:rsidR="007D3180" w:rsidRDefault="007D3180" w:rsidP="007D318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(days)</w:t>
            </w:r>
          </w:p>
        </w:tc>
      </w:tr>
      <w:tr w:rsidR="00572091" w:rsidRPr="004D2A9B" w:rsidTr="00000CF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vAlign w:val="bottom"/>
          </w:tcPr>
          <w:p w:rsidR="00572091" w:rsidRPr="004D2A9B" w:rsidRDefault="00A13473" w:rsidP="00A1347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72091" w:rsidRPr="00572091" w:rsidRDefault="00572091" w:rsidP="0037588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572091">
              <w:rPr>
                <w:b/>
                <w:lang w:val="en-GB"/>
              </w:rPr>
              <w:t>N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572091" w:rsidRPr="00572091" w:rsidRDefault="00572091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572091">
              <w:rPr>
                <w:b/>
                <w:lang w:val="en-GB"/>
              </w:rPr>
              <w:t>Mean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72091" w:rsidRPr="00572091" w:rsidRDefault="00572091" w:rsidP="0037588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572091">
              <w:rPr>
                <w:b/>
                <w:lang w:val="en-GB"/>
              </w:rPr>
              <w:t>SD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091" w:rsidRPr="00572091" w:rsidRDefault="00572091" w:rsidP="0037588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572091">
              <w:rPr>
                <w:b/>
                <w:lang w:val="en-GB"/>
              </w:rPr>
              <w:t>Mean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091" w:rsidRPr="00572091" w:rsidRDefault="00572091" w:rsidP="0037588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2091" w:rsidRPr="00572091" w:rsidRDefault="00572091" w:rsidP="0037588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Mean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72091" w:rsidRPr="00572091" w:rsidRDefault="00572091" w:rsidP="0037588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SD</w:t>
            </w:r>
          </w:p>
        </w:tc>
      </w:tr>
      <w:tr w:rsidR="00A13473" w:rsidRPr="004D2A9B" w:rsidTr="005D7D2F">
        <w:trPr>
          <w:gridAfter w:val="8"/>
          <w:wAfter w:w="6987" w:type="dxa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A13473" w:rsidRPr="004D2A9B" w:rsidRDefault="00A13473" w:rsidP="00A13473">
            <w:pPr>
              <w:spacing w:after="0"/>
              <w:rPr>
                <w:lang w:val="en-GB"/>
              </w:rPr>
            </w:pP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4D2A9B" w:rsidRDefault="00223BC7" w:rsidP="004D2A9B">
            <w:pPr>
              <w:spacing w:after="0" w:line="240" w:lineRule="auto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D</w:t>
            </w:r>
            <w:r w:rsidR="00A13473" w:rsidRPr="004D2A9B">
              <w:rPr>
                <w:b w:val="0"/>
                <w:color w:val="auto"/>
                <w:lang w:val="en-GB"/>
              </w:rPr>
              <w:t>rip</w:t>
            </w:r>
          </w:p>
        </w:tc>
        <w:tc>
          <w:tcPr>
            <w:tcW w:w="567" w:type="dxa"/>
            <w:gridSpan w:val="2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55</w:t>
            </w:r>
          </w:p>
        </w:tc>
        <w:tc>
          <w:tcPr>
            <w:tcW w:w="80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4.6</w:t>
            </w:r>
          </w:p>
        </w:tc>
        <w:tc>
          <w:tcPr>
            <w:tcW w:w="1038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9.5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295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387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299</w:t>
            </w:r>
          </w:p>
        </w:tc>
        <w:tc>
          <w:tcPr>
            <w:tcW w:w="117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110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4D2A9B" w:rsidRDefault="00223BC7" w:rsidP="004D2A9B">
            <w:pPr>
              <w:spacing w:after="0" w:line="240" w:lineRule="auto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F</w:t>
            </w:r>
            <w:r w:rsidR="00A13473" w:rsidRPr="004D2A9B">
              <w:rPr>
                <w:b w:val="0"/>
                <w:color w:val="auto"/>
                <w:lang w:val="en-GB"/>
              </w:rPr>
              <w:t>looded</w:t>
            </w:r>
          </w:p>
        </w:tc>
        <w:tc>
          <w:tcPr>
            <w:tcW w:w="567" w:type="dxa"/>
            <w:gridSpan w:val="2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14</w:t>
            </w:r>
          </w:p>
        </w:tc>
        <w:tc>
          <w:tcPr>
            <w:tcW w:w="80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0.5</w:t>
            </w:r>
          </w:p>
        </w:tc>
        <w:tc>
          <w:tcPr>
            <w:tcW w:w="1038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0.8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161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59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277</w:t>
            </w:r>
          </w:p>
        </w:tc>
        <w:tc>
          <w:tcPr>
            <w:tcW w:w="117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106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4D2A9B" w:rsidRDefault="00223BC7" w:rsidP="004D2A9B">
            <w:pPr>
              <w:spacing w:after="0" w:line="240" w:lineRule="auto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F</w:t>
            </w:r>
            <w:r w:rsidR="00A13473" w:rsidRPr="004D2A9B">
              <w:rPr>
                <w:b w:val="0"/>
                <w:color w:val="auto"/>
                <w:lang w:val="en-GB"/>
              </w:rPr>
              <w:t>urrow</w:t>
            </w:r>
          </w:p>
        </w:tc>
        <w:tc>
          <w:tcPr>
            <w:tcW w:w="567" w:type="dxa"/>
            <w:gridSpan w:val="2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29</w:t>
            </w:r>
          </w:p>
        </w:tc>
        <w:tc>
          <w:tcPr>
            <w:tcW w:w="80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2.9</w:t>
            </w:r>
          </w:p>
        </w:tc>
        <w:tc>
          <w:tcPr>
            <w:tcW w:w="1038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4.7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205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94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254</w:t>
            </w:r>
          </w:p>
        </w:tc>
        <w:tc>
          <w:tcPr>
            <w:tcW w:w="117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92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4D2A9B" w:rsidRDefault="00223BC7" w:rsidP="004D2A9B">
            <w:pPr>
              <w:spacing w:after="0" w:line="240" w:lineRule="auto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S</w:t>
            </w:r>
            <w:r w:rsidR="00A13473" w:rsidRPr="004D2A9B">
              <w:rPr>
                <w:b w:val="0"/>
                <w:color w:val="auto"/>
                <w:lang w:val="en-GB"/>
              </w:rPr>
              <w:t>prinkler</w:t>
            </w:r>
          </w:p>
        </w:tc>
        <w:tc>
          <w:tcPr>
            <w:tcW w:w="567" w:type="dxa"/>
            <w:gridSpan w:val="2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55</w:t>
            </w:r>
          </w:p>
        </w:tc>
        <w:tc>
          <w:tcPr>
            <w:tcW w:w="80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3.7</w:t>
            </w:r>
          </w:p>
        </w:tc>
        <w:tc>
          <w:tcPr>
            <w:tcW w:w="1038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3.3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226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75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186</w:t>
            </w:r>
          </w:p>
        </w:tc>
        <w:tc>
          <w:tcPr>
            <w:tcW w:w="117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4D2A9B" w:rsidRDefault="00223BC7" w:rsidP="004D2A9B">
            <w:pPr>
              <w:spacing w:after="0" w:line="240" w:lineRule="auto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R</w:t>
            </w:r>
            <w:r w:rsidR="00A13473" w:rsidRPr="004D2A9B">
              <w:rPr>
                <w:b w:val="0"/>
                <w:color w:val="auto"/>
                <w:lang w:val="en-GB"/>
              </w:rPr>
              <w:t>ain</w:t>
            </w:r>
            <w:r>
              <w:rPr>
                <w:b w:val="0"/>
                <w:color w:val="auto"/>
                <w:lang w:val="en-GB"/>
              </w:rPr>
              <w:t>-fed</w:t>
            </w:r>
            <w:r w:rsidR="005D7D2F">
              <w:rPr>
                <w:b w:val="0"/>
                <w:color w:val="auto"/>
                <w:lang w:val="en-GB"/>
              </w:rPr>
              <w:t xml:space="preserve"> &lt;450</w:t>
            </w:r>
            <w:r>
              <w:rPr>
                <w:b w:val="0"/>
                <w:color w:val="auto"/>
                <w:lang w:val="en-GB"/>
              </w:rPr>
              <w:t xml:space="preserve"> </w:t>
            </w:r>
            <w:r w:rsidR="005D7D2F">
              <w:rPr>
                <w:b w:val="0"/>
                <w:color w:val="auto"/>
                <w:lang w:val="en-GB"/>
              </w:rPr>
              <w:t>mm</w:t>
            </w:r>
          </w:p>
        </w:tc>
        <w:tc>
          <w:tcPr>
            <w:tcW w:w="567" w:type="dxa"/>
            <w:gridSpan w:val="2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39</w:t>
            </w:r>
          </w:p>
        </w:tc>
        <w:tc>
          <w:tcPr>
            <w:tcW w:w="80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0.4</w:t>
            </w:r>
          </w:p>
        </w:tc>
        <w:tc>
          <w:tcPr>
            <w:tcW w:w="1038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0.3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117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58</w:t>
            </w:r>
          </w:p>
        </w:tc>
        <w:tc>
          <w:tcPr>
            <w:tcW w:w="1134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269</w:t>
            </w:r>
          </w:p>
        </w:tc>
        <w:tc>
          <w:tcPr>
            <w:tcW w:w="1175" w:type="dxa"/>
          </w:tcPr>
          <w:p w:rsidR="00A13473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</w:tr>
      <w:tr w:rsidR="005D7D2F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D7D2F" w:rsidRPr="004D2A9B" w:rsidRDefault="00223BC7" w:rsidP="004D2A9B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R</w:t>
            </w:r>
            <w:r w:rsidR="005D7D2F" w:rsidRPr="004D2A9B">
              <w:rPr>
                <w:b w:val="0"/>
                <w:color w:val="auto"/>
                <w:lang w:val="en-GB"/>
              </w:rPr>
              <w:t>ain</w:t>
            </w:r>
            <w:r>
              <w:rPr>
                <w:b w:val="0"/>
                <w:color w:val="auto"/>
                <w:lang w:val="en-GB"/>
              </w:rPr>
              <w:t>-fed</w:t>
            </w:r>
            <w:r w:rsidR="005D7D2F">
              <w:rPr>
                <w:b w:val="0"/>
                <w:color w:val="auto"/>
                <w:lang w:val="en-GB"/>
              </w:rPr>
              <w:t xml:space="preserve"> &gt;450</w:t>
            </w:r>
            <w:r>
              <w:rPr>
                <w:b w:val="0"/>
                <w:color w:val="auto"/>
                <w:lang w:val="en-GB"/>
              </w:rPr>
              <w:t xml:space="preserve"> </w:t>
            </w:r>
            <w:r w:rsidR="005D7D2F">
              <w:rPr>
                <w:b w:val="0"/>
                <w:color w:val="auto"/>
                <w:lang w:val="en-GB"/>
              </w:rPr>
              <w:t>mm</w:t>
            </w:r>
          </w:p>
        </w:tc>
        <w:tc>
          <w:tcPr>
            <w:tcW w:w="567" w:type="dxa"/>
            <w:gridSpan w:val="2"/>
          </w:tcPr>
          <w:p w:rsidR="005D7D2F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805" w:type="dxa"/>
          </w:tcPr>
          <w:p w:rsidR="005D7D2F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1038" w:type="dxa"/>
          </w:tcPr>
          <w:p w:rsidR="005D7D2F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4.8</w:t>
            </w:r>
          </w:p>
        </w:tc>
        <w:tc>
          <w:tcPr>
            <w:tcW w:w="1134" w:type="dxa"/>
          </w:tcPr>
          <w:p w:rsidR="005D7D2F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153</w:t>
            </w:r>
          </w:p>
        </w:tc>
        <w:tc>
          <w:tcPr>
            <w:tcW w:w="1134" w:type="dxa"/>
          </w:tcPr>
          <w:p w:rsidR="005D7D2F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125</w:t>
            </w:r>
          </w:p>
        </w:tc>
        <w:tc>
          <w:tcPr>
            <w:tcW w:w="1134" w:type="dxa"/>
          </w:tcPr>
          <w:p w:rsidR="005D7D2F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253</w:t>
            </w:r>
          </w:p>
        </w:tc>
        <w:tc>
          <w:tcPr>
            <w:tcW w:w="1175" w:type="dxa"/>
          </w:tcPr>
          <w:p w:rsidR="005D7D2F" w:rsidRPr="004D2A9B" w:rsidRDefault="005D7D2F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131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bottom"/>
          </w:tcPr>
          <w:p w:rsidR="00A13473" w:rsidRPr="004D2A9B" w:rsidRDefault="00A13473" w:rsidP="00A13473">
            <w:pPr>
              <w:spacing w:before="240" w:after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Fertilizer type</w:t>
            </w:r>
          </w:p>
        </w:tc>
        <w:tc>
          <w:tcPr>
            <w:tcW w:w="567" w:type="dxa"/>
            <w:gridSpan w:val="2"/>
          </w:tcPr>
          <w:p w:rsidR="00A13473" w:rsidRPr="004D2A9B" w:rsidRDefault="00A13473" w:rsidP="003758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805" w:type="dxa"/>
          </w:tcPr>
          <w:p w:rsidR="00A13473" w:rsidRPr="004D2A9B" w:rsidRDefault="00A13473" w:rsidP="003758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1038" w:type="dxa"/>
          </w:tcPr>
          <w:p w:rsidR="00A13473" w:rsidRPr="004D2A9B" w:rsidRDefault="00A13473" w:rsidP="003758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:rsidR="00A13473" w:rsidRPr="004D2A9B" w:rsidRDefault="00A13473" w:rsidP="003758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:rsidR="00A13473" w:rsidRPr="004D2A9B" w:rsidRDefault="00A13473" w:rsidP="003758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:rsidR="00A13473" w:rsidRPr="004D2A9B" w:rsidRDefault="00A13473" w:rsidP="003758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75" w:type="dxa"/>
          </w:tcPr>
          <w:p w:rsidR="00A13473" w:rsidRPr="004D2A9B" w:rsidRDefault="00A13473" w:rsidP="003758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A13473" w:rsidRDefault="00223BC7" w:rsidP="00A13473">
            <w:pPr>
              <w:spacing w:after="0" w:line="240" w:lineRule="auto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O</w:t>
            </w:r>
            <w:r w:rsidR="00A13473" w:rsidRPr="00A13473">
              <w:rPr>
                <w:b w:val="0"/>
                <w:color w:val="auto"/>
                <w:lang w:val="en-GB"/>
              </w:rPr>
              <w:t>r</w:t>
            </w:r>
            <w:r w:rsidR="00A13473">
              <w:rPr>
                <w:b w:val="0"/>
                <w:color w:val="auto"/>
                <w:lang w:val="en-GB"/>
              </w:rPr>
              <w:t>ganic-liquid</w:t>
            </w:r>
          </w:p>
        </w:tc>
        <w:tc>
          <w:tcPr>
            <w:tcW w:w="567" w:type="dxa"/>
            <w:gridSpan w:val="2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30</w:t>
            </w:r>
          </w:p>
        </w:tc>
        <w:tc>
          <w:tcPr>
            <w:tcW w:w="80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4.8</w:t>
            </w:r>
          </w:p>
        </w:tc>
        <w:tc>
          <w:tcPr>
            <w:tcW w:w="1038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5.4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172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95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251</w:t>
            </w:r>
          </w:p>
        </w:tc>
        <w:tc>
          <w:tcPr>
            <w:tcW w:w="117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A13473" w:rsidRDefault="00223BC7" w:rsidP="00A13473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O</w:t>
            </w:r>
            <w:r w:rsidR="00A13473">
              <w:rPr>
                <w:b w:val="0"/>
                <w:lang w:val="en-GB"/>
              </w:rPr>
              <w:t>rganic-solid</w:t>
            </w:r>
          </w:p>
        </w:tc>
        <w:tc>
          <w:tcPr>
            <w:tcW w:w="567" w:type="dxa"/>
            <w:gridSpan w:val="2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80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1.8</w:t>
            </w:r>
          </w:p>
        </w:tc>
        <w:tc>
          <w:tcPr>
            <w:tcW w:w="1038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2.3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238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155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227</w:t>
            </w:r>
          </w:p>
        </w:tc>
        <w:tc>
          <w:tcPr>
            <w:tcW w:w="117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114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A13473" w:rsidRDefault="00223BC7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</w:t>
            </w:r>
            <w:r w:rsidR="00A13473">
              <w:rPr>
                <w:b w:val="0"/>
                <w:lang w:val="en-GB"/>
              </w:rPr>
              <w:t>ixture</w:t>
            </w:r>
          </w:p>
        </w:tc>
        <w:tc>
          <w:tcPr>
            <w:tcW w:w="567" w:type="dxa"/>
            <w:gridSpan w:val="2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80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9.8</w:t>
            </w:r>
          </w:p>
        </w:tc>
        <w:tc>
          <w:tcPr>
            <w:tcW w:w="1038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13.5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535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523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327</w:t>
            </w:r>
          </w:p>
        </w:tc>
        <w:tc>
          <w:tcPr>
            <w:tcW w:w="117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A13473" w:rsidRDefault="00223BC7" w:rsidP="00A13473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</w:t>
            </w:r>
            <w:r w:rsidR="00A13473">
              <w:rPr>
                <w:b w:val="0"/>
                <w:lang w:val="en-GB"/>
              </w:rPr>
              <w:t>ynthetic</w:t>
            </w:r>
          </w:p>
        </w:tc>
        <w:tc>
          <w:tcPr>
            <w:tcW w:w="567" w:type="dxa"/>
            <w:gridSpan w:val="2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131</w:t>
            </w:r>
          </w:p>
        </w:tc>
        <w:tc>
          <w:tcPr>
            <w:tcW w:w="80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1.7</w:t>
            </w:r>
          </w:p>
        </w:tc>
        <w:tc>
          <w:tcPr>
            <w:tcW w:w="1038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157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260</w:t>
            </w:r>
          </w:p>
        </w:tc>
        <w:tc>
          <w:tcPr>
            <w:tcW w:w="117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Default="007E0D7B" w:rsidP="00A13473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I</w:t>
            </w:r>
            <w:r w:rsidR="00A13473">
              <w:rPr>
                <w:b w:val="0"/>
                <w:lang w:val="en-GB"/>
              </w:rPr>
              <w:t>nhibitor</w:t>
            </w:r>
            <w:r>
              <w:rPr>
                <w:b w:val="0"/>
                <w:lang w:val="en-GB"/>
              </w:rPr>
              <w:t>*</w:t>
            </w:r>
          </w:p>
        </w:tc>
        <w:tc>
          <w:tcPr>
            <w:tcW w:w="567" w:type="dxa"/>
            <w:gridSpan w:val="2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80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1.2</w:t>
            </w:r>
          </w:p>
        </w:tc>
        <w:tc>
          <w:tcPr>
            <w:tcW w:w="1038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1.7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167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78</w:t>
            </w:r>
          </w:p>
        </w:tc>
        <w:tc>
          <w:tcPr>
            <w:tcW w:w="1134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167</w:t>
            </w:r>
          </w:p>
        </w:tc>
        <w:tc>
          <w:tcPr>
            <w:tcW w:w="1175" w:type="dxa"/>
          </w:tcPr>
          <w:p w:rsidR="00A13473" w:rsidRPr="004D2A9B" w:rsidRDefault="00000CFD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129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bottom"/>
          </w:tcPr>
          <w:p w:rsidR="00A13473" w:rsidRPr="00572091" w:rsidRDefault="00A13473" w:rsidP="00A13473">
            <w:pPr>
              <w:spacing w:before="240" w:after="0"/>
              <w:rPr>
                <w:color w:val="auto"/>
                <w:lang w:val="en-GB"/>
              </w:rPr>
            </w:pPr>
            <w:r w:rsidRPr="00572091">
              <w:rPr>
                <w:color w:val="auto"/>
                <w:lang w:val="en-GB"/>
              </w:rPr>
              <w:t>Crop type</w:t>
            </w:r>
          </w:p>
        </w:tc>
        <w:tc>
          <w:tcPr>
            <w:tcW w:w="567" w:type="dxa"/>
            <w:gridSpan w:val="2"/>
          </w:tcPr>
          <w:p w:rsidR="00A13473" w:rsidRPr="004D2A9B" w:rsidRDefault="00A13473" w:rsidP="00375888">
            <w:pPr>
              <w:spacing w:before="24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805" w:type="dxa"/>
          </w:tcPr>
          <w:p w:rsidR="00A13473" w:rsidRPr="004D2A9B" w:rsidRDefault="00A13473" w:rsidP="00375888">
            <w:pPr>
              <w:spacing w:before="24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1038" w:type="dxa"/>
          </w:tcPr>
          <w:p w:rsidR="00A13473" w:rsidRPr="004D2A9B" w:rsidRDefault="00A13473" w:rsidP="00375888">
            <w:pPr>
              <w:spacing w:before="24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:rsidR="00A13473" w:rsidRPr="004D2A9B" w:rsidRDefault="00A13473" w:rsidP="00375888">
            <w:pPr>
              <w:spacing w:before="24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:rsidR="00A13473" w:rsidRPr="004D2A9B" w:rsidRDefault="00A13473" w:rsidP="00375888">
            <w:pPr>
              <w:spacing w:before="24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</w:p>
        </w:tc>
        <w:tc>
          <w:tcPr>
            <w:tcW w:w="1134" w:type="dxa"/>
          </w:tcPr>
          <w:p w:rsidR="00A13473" w:rsidRPr="004D2A9B" w:rsidRDefault="00A13473" w:rsidP="00375888">
            <w:pPr>
              <w:spacing w:before="24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75" w:type="dxa"/>
          </w:tcPr>
          <w:p w:rsidR="00A13473" w:rsidRPr="004D2A9B" w:rsidRDefault="00A13473" w:rsidP="00375888">
            <w:pPr>
              <w:spacing w:before="24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976899" w:rsidRDefault="00223BC7" w:rsidP="00976899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</w:t>
            </w:r>
            <w:r w:rsidR="00DD4236">
              <w:rPr>
                <w:b w:val="0"/>
                <w:lang w:val="en-GB"/>
              </w:rPr>
              <w:t>aize</w:t>
            </w:r>
          </w:p>
        </w:tc>
        <w:tc>
          <w:tcPr>
            <w:tcW w:w="567" w:type="dxa"/>
            <w:gridSpan w:val="2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  <w:tc>
          <w:tcPr>
            <w:tcW w:w="80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4.7</w:t>
            </w:r>
          </w:p>
        </w:tc>
        <w:tc>
          <w:tcPr>
            <w:tcW w:w="1038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7.0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323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298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223</w:t>
            </w:r>
          </w:p>
        </w:tc>
        <w:tc>
          <w:tcPr>
            <w:tcW w:w="117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129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976899" w:rsidRDefault="00223BC7" w:rsidP="00976899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</w:t>
            </w:r>
            <w:r w:rsidR="00DD4236">
              <w:rPr>
                <w:b w:val="0"/>
                <w:lang w:val="en-GB"/>
              </w:rPr>
              <w:t>orticulture</w:t>
            </w:r>
          </w:p>
        </w:tc>
        <w:tc>
          <w:tcPr>
            <w:tcW w:w="567" w:type="dxa"/>
            <w:gridSpan w:val="2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80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1038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4.6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182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231</w:t>
            </w:r>
          </w:p>
        </w:tc>
        <w:tc>
          <w:tcPr>
            <w:tcW w:w="117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125</w:t>
            </w:r>
          </w:p>
        </w:tc>
      </w:tr>
      <w:tr w:rsidR="00976899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76899" w:rsidRPr="00976899" w:rsidRDefault="00223BC7" w:rsidP="00976899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P</w:t>
            </w:r>
            <w:r w:rsidR="00DD4236">
              <w:rPr>
                <w:b w:val="0"/>
                <w:lang w:val="en-GB"/>
              </w:rPr>
              <w:t>erennial</w:t>
            </w:r>
          </w:p>
        </w:tc>
        <w:tc>
          <w:tcPr>
            <w:tcW w:w="567" w:type="dxa"/>
            <w:gridSpan w:val="2"/>
          </w:tcPr>
          <w:p w:rsidR="00976899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805" w:type="dxa"/>
          </w:tcPr>
          <w:p w:rsidR="00976899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1.2</w:t>
            </w:r>
          </w:p>
        </w:tc>
        <w:tc>
          <w:tcPr>
            <w:tcW w:w="1038" w:type="dxa"/>
          </w:tcPr>
          <w:p w:rsidR="00976899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1134" w:type="dxa"/>
          </w:tcPr>
          <w:p w:rsidR="00976899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104</w:t>
            </w:r>
          </w:p>
        </w:tc>
        <w:tc>
          <w:tcPr>
            <w:tcW w:w="1134" w:type="dxa"/>
          </w:tcPr>
          <w:p w:rsidR="00976899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1134" w:type="dxa"/>
          </w:tcPr>
          <w:p w:rsidR="00976899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297</w:t>
            </w:r>
          </w:p>
        </w:tc>
        <w:tc>
          <w:tcPr>
            <w:tcW w:w="1175" w:type="dxa"/>
          </w:tcPr>
          <w:p w:rsidR="00976899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976899" w:rsidRDefault="00223BC7" w:rsidP="00976899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C</w:t>
            </w:r>
            <w:r w:rsidR="00DD4236">
              <w:rPr>
                <w:b w:val="0"/>
                <w:lang w:val="en-GB"/>
              </w:rPr>
              <w:t>ereal</w:t>
            </w:r>
          </w:p>
        </w:tc>
        <w:tc>
          <w:tcPr>
            <w:tcW w:w="567" w:type="dxa"/>
            <w:gridSpan w:val="2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80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0.7</w:t>
            </w:r>
          </w:p>
        </w:tc>
        <w:tc>
          <w:tcPr>
            <w:tcW w:w="1038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0.6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138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277</w:t>
            </w:r>
          </w:p>
        </w:tc>
        <w:tc>
          <w:tcPr>
            <w:tcW w:w="117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976899" w:rsidRDefault="00223BC7" w:rsidP="00976899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R</w:t>
            </w:r>
            <w:r w:rsidR="00DD4236">
              <w:rPr>
                <w:b w:val="0"/>
                <w:lang w:val="en-GB"/>
              </w:rPr>
              <w:t>ice</w:t>
            </w:r>
          </w:p>
        </w:tc>
        <w:tc>
          <w:tcPr>
            <w:tcW w:w="567" w:type="dxa"/>
            <w:gridSpan w:val="2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80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  <w:tc>
          <w:tcPr>
            <w:tcW w:w="1038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161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277</w:t>
            </w:r>
          </w:p>
        </w:tc>
        <w:tc>
          <w:tcPr>
            <w:tcW w:w="117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106</w:t>
            </w:r>
          </w:p>
        </w:tc>
      </w:tr>
      <w:tr w:rsidR="00A13473" w:rsidRPr="004D2A9B" w:rsidTr="00000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13473" w:rsidRPr="00976899" w:rsidRDefault="00223BC7" w:rsidP="00976899">
            <w:pPr>
              <w:spacing w:after="0" w:line="240" w:lineRule="auto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O</w:t>
            </w:r>
            <w:r w:rsidR="00DD4236">
              <w:rPr>
                <w:b w:val="0"/>
                <w:lang w:val="en-GB"/>
              </w:rPr>
              <w:t>thers</w:t>
            </w:r>
          </w:p>
        </w:tc>
        <w:tc>
          <w:tcPr>
            <w:tcW w:w="567" w:type="dxa"/>
            <w:gridSpan w:val="2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80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4.5</w:t>
            </w:r>
          </w:p>
        </w:tc>
        <w:tc>
          <w:tcPr>
            <w:tcW w:w="1038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8.8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230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290</w:t>
            </w:r>
          </w:p>
        </w:tc>
        <w:tc>
          <w:tcPr>
            <w:tcW w:w="1134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243</w:t>
            </w:r>
          </w:p>
        </w:tc>
        <w:tc>
          <w:tcPr>
            <w:tcW w:w="1175" w:type="dxa"/>
          </w:tcPr>
          <w:p w:rsidR="00A13473" w:rsidRPr="004D2A9B" w:rsidRDefault="004A6374" w:rsidP="0037588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112</w:t>
            </w:r>
          </w:p>
        </w:tc>
      </w:tr>
    </w:tbl>
    <w:p w:rsidR="00024776" w:rsidRPr="007E0D7B" w:rsidRDefault="007E0D7B" w:rsidP="007E0D7B">
      <w:pPr>
        <w:rPr>
          <w:lang w:val="en-GB"/>
        </w:rPr>
      </w:pPr>
      <w:r>
        <w:rPr>
          <w:lang w:val="en-GB"/>
        </w:rPr>
        <w:t>*inhibitor refers to treatments with synthetic and/or organic fertilizers where nitrification or urease inhibitors were applied.</w:t>
      </w:r>
    </w:p>
    <w:p w:rsidR="00024776" w:rsidRPr="00CB05F4" w:rsidRDefault="00024776" w:rsidP="00024776">
      <w:pPr>
        <w:rPr>
          <w:lang w:val="en-GB"/>
        </w:rPr>
      </w:pPr>
      <w:r w:rsidRPr="00CB05F4">
        <w:rPr>
          <w:lang w:val="en-GB"/>
        </w:rPr>
        <w:br w:type="page"/>
      </w:r>
    </w:p>
    <w:p w:rsidR="00024776" w:rsidRPr="00375888" w:rsidRDefault="00024776" w:rsidP="00024776">
      <w:pPr>
        <w:rPr>
          <w:sz w:val="24"/>
          <w:lang w:val="en-GB"/>
        </w:rPr>
      </w:pPr>
      <w:proofErr w:type="gramStart"/>
      <w:r w:rsidRPr="00375888">
        <w:rPr>
          <w:b/>
          <w:sz w:val="24"/>
          <w:lang w:val="en-GB"/>
        </w:rPr>
        <w:lastRenderedPageBreak/>
        <w:t>Table 3</w:t>
      </w:r>
      <w:r w:rsidRPr="00375888">
        <w:rPr>
          <w:sz w:val="24"/>
          <w:lang w:val="en-GB"/>
        </w:rPr>
        <w:t>.</w:t>
      </w:r>
      <w:proofErr w:type="gramEnd"/>
      <w:r w:rsidRPr="00375888">
        <w:rPr>
          <w:sz w:val="24"/>
          <w:lang w:val="en-GB"/>
        </w:rPr>
        <w:t xml:space="preserve"> </w:t>
      </w:r>
      <w:r w:rsidR="00223BC7">
        <w:rPr>
          <w:sz w:val="24"/>
          <w:lang w:val="en-GB"/>
        </w:rPr>
        <w:t>Emission factors (</w:t>
      </w:r>
      <w:r w:rsidR="00245DA1" w:rsidRPr="00375888">
        <w:rPr>
          <w:sz w:val="24"/>
          <w:lang w:val="en-GB"/>
        </w:rPr>
        <w:t>EFs</w:t>
      </w:r>
      <w:r w:rsidR="00223BC7">
        <w:rPr>
          <w:sz w:val="24"/>
          <w:lang w:val="en-GB"/>
        </w:rPr>
        <w:t>)</w:t>
      </w:r>
      <w:r w:rsidR="00245DA1" w:rsidRPr="00375888">
        <w:rPr>
          <w:sz w:val="24"/>
          <w:lang w:val="en-GB"/>
        </w:rPr>
        <w:t xml:space="preserve"> used to estimate total N</w:t>
      </w:r>
      <w:r w:rsidR="00245DA1" w:rsidRPr="00375888">
        <w:rPr>
          <w:sz w:val="24"/>
          <w:vertAlign w:val="subscript"/>
          <w:lang w:val="en-GB"/>
        </w:rPr>
        <w:t>2</w:t>
      </w:r>
      <w:r w:rsidR="00245DA1" w:rsidRPr="00375888">
        <w:rPr>
          <w:sz w:val="24"/>
          <w:lang w:val="en-GB"/>
        </w:rPr>
        <w:t>O emissions in the Spanish cropping systems</w:t>
      </w:r>
      <w:r w:rsidR="00BB2BEE" w:rsidRPr="00375888">
        <w:rPr>
          <w:sz w:val="24"/>
          <w:lang w:val="en-GB"/>
        </w:rPr>
        <w:t xml:space="preserve">: </w:t>
      </w:r>
      <w:r w:rsidR="00E81E31" w:rsidRPr="00375888">
        <w:rPr>
          <w:sz w:val="24"/>
          <w:lang w:val="en-GB"/>
        </w:rPr>
        <w:t>current</w:t>
      </w:r>
      <w:r w:rsidR="00245DA1" w:rsidRPr="00375888">
        <w:rPr>
          <w:sz w:val="24"/>
          <w:lang w:val="en-GB"/>
        </w:rPr>
        <w:t xml:space="preserve"> </w:t>
      </w:r>
      <w:r w:rsidRPr="00375888">
        <w:rPr>
          <w:sz w:val="24"/>
          <w:lang w:val="en-GB"/>
        </w:rPr>
        <w:t>EFs</w:t>
      </w:r>
      <w:r w:rsidR="00245DA1" w:rsidRPr="00375888">
        <w:rPr>
          <w:sz w:val="24"/>
          <w:lang w:val="en-GB"/>
        </w:rPr>
        <w:t xml:space="preserve"> </w:t>
      </w:r>
      <w:r w:rsidR="00E81E31" w:rsidRPr="00375888">
        <w:rPr>
          <w:sz w:val="24"/>
          <w:lang w:val="en-GB"/>
        </w:rPr>
        <w:t>according to IPCC (2006)</w:t>
      </w:r>
      <w:r w:rsidR="00245DA1" w:rsidRPr="00375888">
        <w:rPr>
          <w:sz w:val="24"/>
          <w:lang w:val="en-GB"/>
        </w:rPr>
        <w:t xml:space="preserve"> and the new values</w:t>
      </w:r>
      <w:r w:rsidR="006F3151" w:rsidRPr="00375888">
        <w:rPr>
          <w:sz w:val="24"/>
          <w:lang w:val="en-GB"/>
        </w:rPr>
        <w:t xml:space="preserve"> for Mediterranean areas</w:t>
      </w:r>
      <w:r w:rsidR="00245DA1" w:rsidRPr="00375888">
        <w:rPr>
          <w:sz w:val="24"/>
          <w:lang w:val="en-GB"/>
        </w:rPr>
        <w:t xml:space="preserve"> </w:t>
      </w:r>
      <w:r w:rsidRPr="00375888">
        <w:rPr>
          <w:sz w:val="24"/>
          <w:lang w:val="en-GB"/>
        </w:rPr>
        <w:t>developed</w:t>
      </w:r>
      <w:r w:rsidR="00245DA1" w:rsidRPr="00375888">
        <w:rPr>
          <w:sz w:val="24"/>
          <w:lang w:val="en-GB"/>
        </w:rPr>
        <w:t xml:space="preserve"> in this work for different irrigation systems.</w:t>
      </w:r>
      <w:r w:rsidR="001F5A2E" w:rsidRPr="00223BC7">
        <w:rPr>
          <w:sz w:val="24"/>
          <w:lang w:val="en-GB"/>
        </w:rPr>
        <w:t xml:space="preserve"> The percentages in brackets show the proportion of the area under each irrigation system in Spain.</w:t>
      </w:r>
    </w:p>
    <w:tbl>
      <w:tblPr>
        <w:tblW w:w="8237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"/>
        <w:gridCol w:w="3000"/>
        <w:gridCol w:w="1456"/>
        <w:gridCol w:w="1701"/>
      </w:tblGrid>
      <w:tr w:rsidR="00024776" w:rsidRPr="00D942BC" w:rsidTr="007D3180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F634FF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E</w:t>
            </w:r>
            <w:r>
              <w:rPr>
                <w:rFonts w:eastAsia="Times New Roman" w:cs="Times New Roman"/>
                <w:color w:val="000000"/>
                <w:lang w:val="en-GB"/>
              </w:rPr>
              <w:t>F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Temperate climate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Mediterranean climate</w:t>
            </w:r>
          </w:p>
        </w:tc>
      </w:tr>
      <w:tr w:rsidR="00024776" w:rsidRPr="00D942BC" w:rsidTr="00F634FF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Current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F634FF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Rain</w:t>
            </w:r>
            <w:r>
              <w:rPr>
                <w:rFonts w:eastAsia="Times New Roman" w:cs="Times New Roman"/>
                <w:color w:val="000000"/>
                <w:lang w:val="en-GB"/>
              </w:rPr>
              <w:t>-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fed crops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1.</w:t>
            </w:r>
            <w:r w:rsidR="00E81E31">
              <w:rPr>
                <w:rFonts w:eastAsia="Times New Roman" w:cs="Times New Roman"/>
                <w:color w:val="000000"/>
                <w:lang w:val="en-GB"/>
              </w:rPr>
              <w:t>0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1.</w:t>
            </w:r>
            <w:r w:rsidR="00E81E31">
              <w:rPr>
                <w:rFonts w:eastAsia="Times New Roman" w:cs="Times New Roman"/>
                <w:color w:val="000000"/>
                <w:lang w:val="en-GB"/>
              </w:rPr>
              <w:t>0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%</w:t>
            </w:r>
          </w:p>
        </w:tc>
      </w:tr>
      <w:tr w:rsidR="00024776" w:rsidRPr="00D942BC" w:rsidTr="00F634FF">
        <w:trPr>
          <w:trHeight w:val="300"/>
        </w:trPr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4776" w:rsidRPr="00CB05F4" w:rsidRDefault="00024776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F634FF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Irrigated crops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1.</w:t>
            </w:r>
            <w:r w:rsidR="00E81E31">
              <w:rPr>
                <w:rFonts w:eastAsia="Times New Roman" w:cs="Times New Roman"/>
                <w:color w:val="000000"/>
                <w:lang w:val="en-GB"/>
              </w:rPr>
              <w:t>0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1.</w:t>
            </w:r>
            <w:r w:rsidR="00E81E31">
              <w:rPr>
                <w:rFonts w:eastAsia="Times New Roman" w:cs="Times New Roman"/>
                <w:color w:val="000000"/>
                <w:lang w:val="en-GB"/>
              </w:rPr>
              <w:t>0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%</w:t>
            </w:r>
          </w:p>
        </w:tc>
      </w:tr>
      <w:tr w:rsidR="00024776" w:rsidRPr="00D942BC" w:rsidTr="00F634FF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New EFs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F634FF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Rain</w:t>
            </w:r>
            <w:r>
              <w:rPr>
                <w:rFonts w:eastAsia="Times New Roman" w:cs="Times New Roman"/>
                <w:color w:val="000000"/>
                <w:lang w:val="en-GB"/>
              </w:rPr>
              <w:t>-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fed crops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1.0%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0.</w:t>
            </w:r>
            <w:r w:rsidR="002066BA">
              <w:rPr>
                <w:rFonts w:eastAsia="Times New Roman" w:cs="Times New Roman"/>
                <w:color w:val="000000"/>
                <w:lang w:val="en-GB"/>
              </w:rPr>
              <w:t>27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%</w:t>
            </w:r>
          </w:p>
        </w:tc>
      </w:tr>
      <w:tr w:rsidR="00024776" w:rsidRPr="00D942BC" w:rsidTr="00375888">
        <w:trPr>
          <w:trHeight w:val="174"/>
        </w:trPr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4776" w:rsidRPr="00CB05F4" w:rsidRDefault="00024776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F634FF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Irrigated furrow (27% surface)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1.0%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0.4</w:t>
            </w:r>
            <w:r w:rsidR="00245DA1">
              <w:rPr>
                <w:rFonts w:eastAsia="Times New Roman" w:cs="Times New Roman"/>
                <w:color w:val="000000"/>
                <w:lang w:val="en-GB"/>
              </w:rPr>
              <w:t>7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%</w:t>
            </w:r>
          </w:p>
        </w:tc>
      </w:tr>
      <w:tr w:rsidR="00024776" w:rsidRPr="00D942BC" w:rsidTr="00FD5CD8">
        <w:trPr>
          <w:trHeight w:val="272"/>
        </w:trPr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4776" w:rsidRPr="00CB05F4" w:rsidRDefault="00024776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223BC7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Sprinkler (24% su</w:t>
            </w:r>
            <w:r w:rsidR="00223BC7">
              <w:rPr>
                <w:rFonts w:eastAsia="Times New Roman" w:cs="Times New Roman"/>
                <w:color w:val="000000"/>
                <w:lang w:val="en-GB"/>
              </w:rPr>
              <w:t>r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face)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024776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1.0%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76" w:rsidRPr="00CB05F4" w:rsidRDefault="00245DA1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0.91</w:t>
            </w:r>
            <w:r w:rsidR="00024776" w:rsidRPr="00CB05F4">
              <w:rPr>
                <w:rFonts w:eastAsia="Times New Roman" w:cs="Times New Roman"/>
                <w:color w:val="000000"/>
                <w:lang w:val="en-GB"/>
              </w:rPr>
              <w:t>%</w:t>
            </w:r>
          </w:p>
        </w:tc>
      </w:tr>
      <w:tr w:rsidR="00FD5CD8" w:rsidRPr="00D942BC" w:rsidTr="0082484D">
        <w:trPr>
          <w:trHeight w:val="276"/>
        </w:trPr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5CD8" w:rsidRPr="00CB05F4" w:rsidRDefault="00FD5CD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D8" w:rsidRPr="00CB05F4" w:rsidRDefault="00FD5CD8" w:rsidP="00FD5CD8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Drip (49% surface)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D8" w:rsidRPr="00CB05F4" w:rsidRDefault="00FD5CD8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CB05F4">
              <w:rPr>
                <w:rFonts w:eastAsia="Times New Roman" w:cs="Times New Roman"/>
                <w:color w:val="000000"/>
                <w:lang w:val="en-GB"/>
              </w:rPr>
              <w:t>1.0%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D8" w:rsidRPr="00CB05F4" w:rsidRDefault="00FD5CD8" w:rsidP="007D318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0.51</w:t>
            </w:r>
            <w:r w:rsidRPr="00CB05F4">
              <w:rPr>
                <w:rFonts w:eastAsia="Times New Roman" w:cs="Times New Roman"/>
                <w:color w:val="000000"/>
                <w:lang w:val="en-GB"/>
              </w:rPr>
              <w:t>%</w:t>
            </w:r>
          </w:p>
        </w:tc>
      </w:tr>
    </w:tbl>
    <w:p w:rsidR="001115CC" w:rsidRPr="00CB05F4" w:rsidRDefault="001115CC" w:rsidP="00024776">
      <w:pPr>
        <w:rPr>
          <w:lang w:val="en-GB"/>
        </w:rPr>
      </w:pPr>
    </w:p>
    <w:p w:rsidR="00024776" w:rsidRPr="00CB05F4" w:rsidRDefault="00024776" w:rsidP="00024776">
      <w:pPr>
        <w:ind w:right="50"/>
        <w:rPr>
          <w:sz w:val="24"/>
          <w:szCs w:val="24"/>
          <w:lang w:val="en-GB"/>
        </w:rPr>
      </w:pPr>
    </w:p>
    <w:p w:rsidR="00024776" w:rsidRPr="00CB05F4" w:rsidRDefault="00024776" w:rsidP="00024776">
      <w:pPr>
        <w:ind w:right="50"/>
        <w:rPr>
          <w:sz w:val="24"/>
          <w:szCs w:val="24"/>
          <w:lang w:val="en-GB"/>
        </w:rPr>
      </w:pPr>
    </w:p>
    <w:p w:rsidR="00024776" w:rsidRPr="00CB05F4" w:rsidRDefault="00024776" w:rsidP="00024776">
      <w:pPr>
        <w:rPr>
          <w:b/>
          <w:sz w:val="24"/>
          <w:szCs w:val="24"/>
          <w:lang w:val="en-GB"/>
        </w:rPr>
      </w:pPr>
      <w:r w:rsidRPr="00CB05F4">
        <w:rPr>
          <w:b/>
          <w:sz w:val="24"/>
          <w:szCs w:val="24"/>
          <w:lang w:val="en-GB"/>
        </w:rPr>
        <w:br w:type="page"/>
      </w:r>
    </w:p>
    <w:p w:rsidR="005F0182" w:rsidRPr="005F0182" w:rsidRDefault="00024776" w:rsidP="005F0182">
      <w:pPr>
        <w:ind w:right="50"/>
        <w:jc w:val="both"/>
        <w:rPr>
          <w:sz w:val="24"/>
          <w:szCs w:val="24"/>
          <w:lang w:val="en-GB"/>
        </w:rPr>
      </w:pPr>
      <w:proofErr w:type="gramStart"/>
      <w:r w:rsidRPr="00CB05F4">
        <w:rPr>
          <w:b/>
          <w:sz w:val="24"/>
          <w:szCs w:val="24"/>
          <w:lang w:val="en-GB"/>
        </w:rPr>
        <w:lastRenderedPageBreak/>
        <w:t>Table 4</w:t>
      </w:r>
      <w:r w:rsidRPr="00CB05F4">
        <w:rPr>
          <w:sz w:val="24"/>
          <w:szCs w:val="24"/>
          <w:lang w:val="en-GB"/>
        </w:rPr>
        <w:t>.</w:t>
      </w:r>
      <w:proofErr w:type="gramEnd"/>
      <w:r w:rsidRPr="00CB05F4">
        <w:rPr>
          <w:sz w:val="24"/>
          <w:szCs w:val="24"/>
          <w:lang w:val="en-GB"/>
        </w:rPr>
        <w:t xml:space="preserve"> Comparison of total N</w:t>
      </w:r>
      <w:r w:rsidRPr="00CB05F4">
        <w:rPr>
          <w:sz w:val="24"/>
          <w:szCs w:val="24"/>
          <w:vertAlign w:val="subscript"/>
          <w:lang w:val="en-GB"/>
        </w:rPr>
        <w:t>2</w:t>
      </w:r>
      <w:r w:rsidRPr="00CB05F4">
        <w:rPr>
          <w:sz w:val="24"/>
          <w:szCs w:val="24"/>
          <w:lang w:val="en-GB"/>
        </w:rPr>
        <w:t xml:space="preserve">O emissions in Spanish cropping systems </w:t>
      </w:r>
      <w:r w:rsidR="00E42F1E">
        <w:rPr>
          <w:lang w:val="en-GB"/>
        </w:rPr>
        <w:t>(MMA</w:t>
      </w:r>
      <w:r w:rsidR="00BB2BEE">
        <w:rPr>
          <w:lang w:val="en-GB"/>
        </w:rPr>
        <w:t>RM</w:t>
      </w:r>
      <w:r w:rsidR="00E42F1E">
        <w:rPr>
          <w:lang w:val="en-GB"/>
        </w:rPr>
        <w:t xml:space="preserve">, 2010) </w:t>
      </w:r>
      <w:r w:rsidRPr="00CB05F4">
        <w:rPr>
          <w:sz w:val="24"/>
          <w:szCs w:val="24"/>
          <w:lang w:val="en-GB"/>
        </w:rPr>
        <w:t xml:space="preserve">after the application of the </w:t>
      </w:r>
      <w:r w:rsidR="00E42F1E">
        <w:rPr>
          <w:sz w:val="24"/>
          <w:szCs w:val="24"/>
          <w:lang w:val="en-GB"/>
        </w:rPr>
        <w:t xml:space="preserve">current </w:t>
      </w:r>
      <w:r w:rsidRPr="00CB05F4">
        <w:rPr>
          <w:sz w:val="24"/>
          <w:szCs w:val="24"/>
          <w:lang w:val="en-GB"/>
        </w:rPr>
        <w:t>EFs and the new EFs obtained in this study</w:t>
      </w:r>
      <w:r w:rsidR="00E42F1E">
        <w:rPr>
          <w:sz w:val="24"/>
          <w:szCs w:val="24"/>
          <w:lang w:val="en-GB"/>
        </w:rPr>
        <w:t>,</w:t>
      </w:r>
      <w:r w:rsidRPr="00CB05F4">
        <w:rPr>
          <w:sz w:val="24"/>
          <w:szCs w:val="24"/>
          <w:lang w:val="en-GB"/>
        </w:rPr>
        <w:t xml:space="preserve"> considering that all the irrigated crops are furrow</w:t>
      </w:r>
      <w:r w:rsidR="00BB2BEE">
        <w:rPr>
          <w:sz w:val="24"/>
          <w:szCs w:val="24"/>
          <w:lang w:val="en-GB"/>
        </w:rPr>
        <w:t>, sprinkler</w:t>
      </w:r>
      <w:r w:rsidRPr="00CB05F4">
        <w:rPr>
          <w:sz w:val="24"/>
          <w:szCs w:val="24"/>
          <w:lang w:val="en-GB"/>
        </w:rPr>
        <w:t xml:space="preserve"> or d</w:t>
      </w:r>
      <w:bookmarkStart w:id="0" w:name="_GoBack"/>
      <w:bookmarkEnd w:id="0"/>
      <w:r w:rsidRPr="00CB05F4">
        <w:rPr>
          <w:sz w:val="24"/>
          <w:szCs w:val="24"/>
          <w:lang w:val="en-GB"/>
        </w:rPr>
        <w:t>rip irrigated.</w:t>
      </w:r>
      <w:r w:rsidR="000E03B4">
        <w:rPr>
          <w:sz w:val="24"/>
          <w:szCs w:val="24"/>
          <w:lang w:val="en-GB"/>
        </w:rPr>
        <w:t xml:space="preserve"> The percentages in brackets show the proportion of the area under each irrigation system in Spain. 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984"/>
        <w:gridCol w:w="1276"/>
        <w:gridCol w:w="1492"/>
        <w:gridCol w:w="918"/>
      </w:tblGrid>
      <w:tr w:rsidR="00E81E31" w:rsidRPr="001D25CE" w:rsidTr="00375888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Temperate climate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Mediterranean climate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Total</w:t>
            </w:r>
          </w:p>
        </w:tc>
      </w:tr>
      <w:tr w:rsidR="00E81E31" w:rsidRPr="001D25CE" w:rsidTr="00375888">
        <w:trPr>
          <w:trHeight w:val="300"/>
        </w:trPr>
        <w:tc>
          <w:tcPr>
            <w:tcW w:w="31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3BC7" w:rsidRDefault="00E8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Fertili</w:t>
            </w: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zer N input (</w:t>
            </w:r>
            <w:r w:rsidR="00223BC7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ynth + </w:t>
            </w:r>
            <w:r w:rsidR="00223BC7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rg)</w:t>
            </w:r>
          </w:p>
          <w:p w:rsidR="00E81E31" w:rsidRPr="001D25CE" w:rsidRDefault="00E8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(Gg N</w:t>
            </w:r>
            <w:r w:rsidR="000E03B4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 </w:t>
            </w:r>
            <w:proofErr w:type="spellStart"/>
            <w:r w:rsidR="000E03B4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yr</w:t>
            </w:r>
            <w:proofErr w:type="spellEnd"/>
            <w:r w:rsidR="00223BC7">
              <w:rPr>
                <w:rFonts w:ascii="Calibri" w:eastAsia="Times New Roman" w:hAnsi="Calibri" w:cs="Times New Roman"/>
                <w:color w:val="000000"/>
                <w:vertAlign w:val="superscript"/>
                <w:lang w:val="en-GB" w:eastAsia="es-ES"/>
              </w:rPr>
              <w:t>–</w:t>
            </w:r>
            <w:r w:rsidR="000E03B4" w:rsidRPr="000E03B4">
              <w:rPr>
                <w:rFonts w:ascii="Calibri" w:eastAsia="Times New Roman" w:hAnsi="Calibri" w:cs="Times New Roman"/>
                <w:color w:val="000000"/>
                <w:vertAlign w:val="superscript"/>
                <w:lang w:val="en-GB" w:eastAsia="es-ES"/>
              </w:rPr>
              <w:t>1</w:t>
            </w: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)</w:t>
            </w:r>
            <w:r w:rsidRPr="001D25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Rain-fed crops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137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585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722</w:t>
            </w:r>
          </w:p>
        </w:tc>
      </w:tr>
      <w:tr w:rsidR="00E81E31" w:rsidRPr="001D25CE" w:rsidTr="007D3180">
        <w:trPr>
          <w:trHeight w:val="300"/>
        </w:trPr>
        <w:tc>
          <w:tcPr>
            <w:tcW w:w="31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Irrigated crops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664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678</w:t>
            </w:r>
          </w:p>
        </w:tc>
      </w:tr>
      <w:tr w:rsidR="00E81E31" w:rsidRPr="001D25CE" w:rsidTr="007D3180">
        <w:trPr>
          <w:trHeight w:val="315"/>
        </w:trPr>
        <w:tc>
          <w:tcPr>
            <w:tcW w:w="31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151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1249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1400</w:t>
            </w:r>
          </w:p>
        </w:tc>
      </w:tr>
      <w:tr w:rsidR="00E81E31" w:rsidRPr="001D25CE" w:rsidTr="007D3180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Current EFs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Rain-fed crops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</w:tr>
      <w:tr w:rsidR="00E81E31" w:rsidRPr="001D25CE" w:rsidTr="007D3180">
        <w:trPr>
          <w:trHeight w:val="36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Total N</w:t>
            </w:r>
            <w:r w:rsidRPr="001D25CE">
              <w:rPr>
                <w:rFonts w:ascii="Calibri" w:eastAsia="Times New Roman" w:hAnsi="Calibri" w:cs="Times New Roman"/>
                <w:color w:val="000000"/>
                <w:vertAlign w:val="subscript"/>
                <w:lang w:val="en-GB" w:eastAsia="es-ES"/>
              </w:rPr>
              <w:t>2</w:t>
            </w: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O emissions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Irrigated crops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</w:tr>
      <w:tr w:rsidR="00E81E31" w:rsidRPr="001D25CE" w:rsidTr="007D3180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31" w:rsidRPr="001D25CE" w:rsidRDefault="00E81E31" w:rsidP="00223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(Gg N</w:t>
            </w:r>
            <w:r w:rsidR="000E03B4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 </w:t>
            </w:r>
            <w:proofErr w:type="spellStart"/>
            <w:r w:rsidR="000E03B4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yr</w:t>
            </w:r>
            <w:proofErr w:type="spellEnd"/>
            <w:r w:rsidR="00223BC7">
              <w:rPr>
                <w:rFonts w:ascii="Calibri" w:eastAsia="Times New Roman" w:hAnsi="Calibri" w:cs="Times New Roman"/>
                <w:color w:val="000000"/>
                <w:vertAlign w:val="superscript"/>
                <w:lang w:val="en-GB" w:eastAsia="es-ES"/>
              </w:rPr>
              <w:t>–</w:t>
            </w:r>
            <w:r w:rsidR="000E03B4">
              <w:rPr>
                <w:rFonts w:ascii="Calibri" w:eastAsia="Times New Roman" w:hAnsi="Calibri" w:cs="Times New Roman"/>
                <w:color w:val="000000"/>
                <w:vertAlign w:val="superscript"/>
                <w:lang w:val="en-GB" w:eastAsia="es-ES"/>
              </w:rPr>
              <w:t>1</w:t>
            </w: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E81E31" w:rsidRPr="001D25CE" w:rsidTr="007D3180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Rain-fed crops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</w:p>
        </w:tc>
      </w:tr>
      <w:tr w:rsidR="00E81E31" w:rsidRPr="001D25CE" w:rsidTr="007D3180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 xml:space="preserve">New EFs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Furrow (27%)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</w:tr>
      <w:tr w:rsidR="00E81E31" w:rsidRPr="001D25CE" w:rsidTr="007D3180">
        <w:trPr>
          <w:trHeight w:val="36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Total N</w:t>
            </w:r>
            <w:r w:rsidRPr="001D25CE">
              <w:rPr>
                <w:rFonts w:ascii="Calibri" w:eastAsia="Times New Roman" w:hAnsi="Calibri" w:cs="Times New Roman"/>
                <w:color w:val="000000"/>
                <w:vertAlign w:val="subscript"/>
                <w:lang w:val="en-GB" w:eastAsia="es-ES"/>
              </w:rPr>
              <w:t>2</w:t>
            </w: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O emissions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Sprinkler (24%)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</w:tr>
      <w:tr w:rsidR="00E81E31" w:rsidRPr="001D25CE" w:rsidTr="007D3180">
        <w:trPr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E31" w:rsidRPr="001D25CE" w:rsidRDefault="00E81E31" w:rsidP="00223B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(Gg N</w:t>
            </w:r>
            <w:r w:rsidR="000E03B4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 xml:space="preserve"> </w:t>
            </w:r>
            <w:proofErr w:type="spellStart"/>
            <w:r w:rsidR="000E03B4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yr</w:t>
            </w:r>
            <w:proofErr w:type="spellEnd"/>
            <w:r w:rsidR="00223BC7">
              <w:rPr>
                <w:rFonts w:ascii="Calibri" w:eastAsia="Times New Roman" w:hAnsi="Calibri" w:cs="Times New Roman"/>
                <w:color w:val="000000"/>
                <w:vertAlign w:val="superscript"/>
                <w:lang w:val="en-GB" w:eastAsia="es-ES"/>
              </w:rPr>
              <w:t>–</w:t>
            </w:r>
            <w:r w:rsidR="000E03B4" w:rsidRPr="000E03B4">
              <w:rPr>
                <w:rFonts w:ascii="Calibri" w:eastAsia="Times New Roman" w:hAnsi="Calibri" w:cs="Times New Roman"/>
                <w:color w:val="000000"/>
                <w:vertAlign w:val="superscript"/>
                <w:lang w:val="en-GB" w:eastAsia="es-ES"/>
              </w:rPr>
              <w:t>1</w:t>
            </w: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n-GB" w:eastAsia="es-ES"/>
              </w:rPr>
              <w:t>Drip (49%)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</w:tr>
      <w:tr w:rsidR="00E81E31" w:rsidRPr="001D25CE" w:rsidTr="007D3180">
        <w:trPr>
          <w:trHeight w:val="315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E31" w:rsidRPr="001D25CE" w:rsidRDefault="00E81E31" w:rsidP="00771D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s-ES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E31" w:rsidRPr="001D25CE" w:rsidRDefault="00E81E31" w:rsidP="00375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.</w:t>
            </w:r>
            <w:r w:rsidRPr="001D25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0</w:t>
            </w:r>
          </w:p>
        </w:tc>
      </w:tr>
    </w:tbl>
    <w:p w:rsidR="00220E19" w:rsidRDefault="00220E19"/>
    <w:sectPr w:rsidR="00220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5E90"/>
    <w:multiLevelType w:val="hybridMultilevel"/>
    <w:tmpl w:val="592A16C6"/>
    <w:lvl w:ilvl="0" w:tplc="A36CE1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0NbM0twDShiZmpko6SsGpxcWZ+XkgBca1AHJiH8EsAAAA"/>
  </w:docVars>
  <w:rsids>
    <w:rsidRoot w:val="00024776"/>
    <w:rsid w:val="00000CFD"/>
    <w:rsid w:val="00024776"/>
    <w:rsid w:val="000E03B4"/>
    <w:rsid w:val="001115CC"/>
    <w:rsid w:val="0011760B"/>
    <w:rsid w:val="00131FEE"/>
    <w:rsid w:val="001F1DB7"/>
    <w:rsid w:val="001F5A2E"/>
    <w:rsid w:val="002066BA"/>
    <w:rsid w:val="002075E7"/>
    <w:rsid w:val="00220E19"/>
    <w:rsid w:val="00223BC7"/>
    <w:rsid w:val="0022674F"/>
    <w:rsid w:val="00245DA1"/>
    <w:rsid w:val="002A3C84"/>
    <w:rsid w:val="002D4071"/>
    <w:rsid w:val="002F1192"/>
    <w:rsid w:val="002F3733"/>
    <w:rsid w:val="00313DD3"/>
    <w:rsid w:val="00327A3C"/>
    <w:rsid w:val="00375888"/>
    <w:rsid w:val="00437163"/>
    <w:rsid w:val="0048392D"/>
    <w:rsid w:val="00492E6E"/>
    <w:rsid w:val="004A6374"/>
    <w:rsid w:val="004D2A9B"/>
    <w:rsid w:val="004E39F6"/>
    <w:rsid w:val="004F4ACC"/>
    <w:rsid w:val="005427B3"/>
    <w:rsid w:val="00572091"/>
    <w:rsid w:val="005D7D2F"/>
    <w:rsid w:val="005F0182"/>
    <w:rsid w:val="00614848"/>
    <w:rsid w:val="006751D8"/>
    <w:rsid w:val="006F3151"/>
    <w:rsid w:val="00756442"/>
    <w:rsid w:val="00761C24"/>
    <w:rsid w:val="007D3180"/>
    <w:rsid w:val="007E0D7B"/>
    <w:rsid w:val="0082484D"/>
    <w:rsid w:val="0084376D"/>
    <w:rsid w:val="0091146D"/>
    <w:rsid w:val="00935CD0"/>
    <w:rsid w:val="00976899"/>
    <w:rsid w:val="00A02AA1"/>
    <w:rsid w:val="00A037AC"/>
    <w:rsid w:val="00A13473"/>
    <w:rsid w:val="00AD66BF"/>
    <w:rsid w:val="00B55B5D"/>
    <w:rsid w:val="00B64A6A"/>
    <w:rsid w:val="00BB2BEE"/>
    <w:rsid w:val="00CE0EA1"/>
    <w:rsid w:val="00D248E7"/>
    <w:rsid w:val="00DA04DF"/>
    <w:rsid w:val="00DD4236"/>
    <w:rsid w:val="00E144D4"/>
    <w:rsid w:val="00E2199A"/>
    <w:rsid w:val="00E42F1E"/>
    <w:rsid w:val="00E7064A"/>
    <w:rsid w:val="00E81E31"/>
    <w:rsid w:val="00FA71BF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76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1D8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Refdecomentario">
    <w:name w:val="annotation reference"/>
    <w:basedOn w:val="Fuentedeprrafopredeter"/>
    <w:uiPriority w:val="99"/>
    <w:semiHidden/>
    <w:unhideWhenUsed/>
    <w:rsid w:val="00245D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D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DA1"/>
    <w:rPr>
      <w:rFonts w:eastAsiaTheme="minorEastAsia"/>
      <w:sz w:val="20"/>
      <w:szCs w:val="20"/>
      <w:lang w:val="nl-NL" w:eastAsia="nl-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D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DA1"/>
    <w:rPr>
      <w:rFonts w:eastAsiaTheme="minorEastAsia"/>
      <w:b/>
      <w:bCs/>
      <w:sz w:val="20"/>
      <w:szCs w:val="20"/>
      <w:lang w:val="nl-NL" w:eastAsia="nl-NL"/>
    </w:rPr>
  </w:style>
  <w:style w:type="paragraph" w:styleId="Revisin">
    <w:name w:val="Revision"/>
    <w:hidden/>
    <w:uiPriority w:val="99"/>
    <w:semiHidden/>
    <w:rsid w:val="0011760B"/>
    <w:pPr>
      <w:spacing w:after="0" w:line="240" w:lineRule="auto"/>
    </w:pPr>
    <w:rPr>
      <w:rFonts w:eastAsiaTheme="minorEastAsia"/>
      <w:lang w:val="nl-NL" w:eastAsia="nl-NL"/>
    </w:rPr>
  </w:style>
  <w:style w:type="table" w:styleId="Tablaconcuadrcula">
    <w:name w:val="Table Grid"/>
    <w:basedOn w:val="Tablanormal"/>
    <w:uiPriority w:val="39"/>
    <w:rsid w:val="0091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bsica1"/>
    <w:uiPriority w:val="60"/>
    <w:rsid w:val="0091146D"/>
    <w:pPr>
      <w:spacing w:after="0" w:line="240" w:lineRule="auto"/>
    </w:pPr>
    <w:rPr>
      <w:color w:val="000000" w:themeColor="text1" w:themeShade="BF"/>
      <w:sz w:val="20"/>
      <w:szCs w:val="20"/>
      <w:lang w:val="en-AU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bsica1">
    <w:name w:val="Table Simple 1"/>
    <w:basedOn w:val="Tablanormal"/>
    <w:uiPriority w:val="99"/>
    <w:semiHidden/>
    <w:unhideWhenUsed/>
    <w:rsid w:val="004D2A9B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76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1D8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Refdecomentario">
    <w:name w:val="annotation reference"/>
    <w:basedOn w:val="Fuentedeprrafopredeter"/>
    <w:uiPriority w:val="99"/>
    <w:semiHidden/>
    <w:unhideWhenUsed/>
    <w:rsid w:val="00245D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D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DA1"/>
    <w:rPr>
      <w:rFonts w:eastAsiaTheme="minorEastAsia"/>
      <w:sz w:val="20"/>
      <w:szCs w:val="20"/>
      <w:lang w:val="nl-NL" w:eastAsia="nl-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D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DA1"/>
    <w:rPr>
      <w:rFonts w:eastAsiaTheme="minorEastAsia"/>
      <w:b/>
      <w:bCs/>
      <w:sz w:val="20"/>
      <w:szCs w:val="20"/>
      <w:lang w:val="nl-NL" w:eastAsia="nl-NL"/>
    </w:rPr>
  </w:style>
  <w:style w:type="paragraph" w:styleId="Revisin">
    <w:name w:val="Revision"/>
    <w:hidden/>
    <w:uiPriority w:val="99"/>
    <w:semiHidden/>
    <w:rsid w:val="0011760B"/>
    <w:pPr>
      <w:spacing w:after="0" w:line="240" w:lineRule="auto"/>
    </w:pPr>
    <w:rPr>
      <w:rFonts w:eastAsiaTheme="minorEastAsia"/>
      <w:lang w:val="nl-NL" w:eastAsia="nl-NL"/>
    </w:rPr>
  </w:style>
  <w:style w:type="table" w:styleId="Tablaconcuadrcula">
    <w:name w:val="Table Grid"/>
    <w:basedOn w:val="Tablanormal"/>
    <w:uiPriority w:val="39"/>
    <w:rsid w:val="0091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bsica1"/>
    <w:uiPriority w:val="60"/>
    <w:rsid w:val="0091146D"/>
    <w:pPr>
      <w:spacing w:after="0" w:line="240" w:lineRule="auto"/>
    </w:pPr>
    <w:rPr>
      <w:color w:val="000000" w:themeColor="text1" w:themeShade="BF"/>
      <w:sz w:val="20"/>
      <w:szCs w:val="20"/>
      <w:lang w:val="en-AU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bsica1">
    <w:name w:val="Table Simple 1"/>
    <w:basedOn w:val="Tablanormal"/>
    <w:uiPriority w:val="99"/>
    <w:semiHidden/>
    <w:unhideWhenUsed/>
    <w:rsid w:val="004D2A9B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E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Lassaletta</dc:creator>
  <cp:lastModifiedBy>Mariluz Cayuela</cp:lastModifiedBy>
  <cp:revision>2</cp:revision>
  <cp:lastPrinted>2016-07-12T09:00:00Z</cp:lastPrinted>
  <dcterms:created xsi:type="dcterms:W3CDTF">2016-08-23T10:31:00Z</dcterms:created>
  <dcterms:modified xsi:type="dcterms:W3CDTF">2016-08-23T10:31:00Z</dcterms:modified>
</cp:coreProperties>
</file>